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(диапазон 7–22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2,98σ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11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11,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(≈1,5×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AURORA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(Cs+Rb+OCXO+обвязка)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× 5 млн ₽,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1.55  Системные требования (SRD)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Cs-часов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1.56  Концепция операций (CONOPS)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1.57  Реестр рисков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1.58  План работ и график (Gantt)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1.59  План верификации и валидации (V&amp;V)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(Symmetricom 5071A эталон)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1.60  Кибербезопасность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1.61  Программное обеспечение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1.62  Матрица соответствия стандартам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11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