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36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РОССИЙСКАЯ ФЕДЕРАЦИЯ</w:t>
      </w:r>
    </w:p>
    <w:p>
      <w:pPr>
        <w:spacing w:lineRule="auto" w:line="240" w:before="8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ООО «ШИВА НЕТВОРК» (ShiwaNetwork)</w:t>
      </w:r>
    </w:p>
    <w:p>
      <w:pPr>
        <w:spacing w:lineRule="auto" w:line="240" w:before="8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Основание: приказ ООО «ШИВА НЕТВОРК» № 11/2026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44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НАУЧНО-ИССЛЕДОВАТЕЛЬСКАЯ РАБОТА «СИЯНИЕ»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16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АВРОРА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Низкоорбитальная система навигации, позиционирования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и синхронизации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28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ТЕХНИКО-ЭКОНОМИЧЕСКОЕ ОБОСНОВАНИЕ</w:t>
      </w:r>
    </w:p>
    <w:p>
      <w:pPr>
        <w:spacing w:lineRule="auto" w:line="240" w:before="16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Документ: АВРОРА-ТЭО-001 (предварительная редакция)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60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Составлен в соответствии с ГОСТ Р 15.201-2000, ГОСТ 2.105-2019;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методическими рекомендациями по оценке эффективности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инвестиционных проектов (РФ)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lineRule="auto" w:line="240" w:before="24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Москва — 2026</w:t>
      </w:r>
    </w:p>
    <w:p>
      <w:r>
        <w:br w:type="page"/>
      </w:r>
    </w:p>
    <w:p>
      <w:pPr>
        <w:spacing w:lineRule="auto" w:line="240" w:before="0" w:after="2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lineRule="auto" w:line="360" w:before="0" w:after="0"/>
        <w:ind w:firstLine="0"/>
      </w:pPr>
      <w:r>
        <w:fldChar w:fldCharType="begin"/>
        <w:instrText xml:space="preserve">TOC \o "1-3" \h \z \u</w:instrText>
        <w:fldChar w:fldCharType="separate"/>
      </w:r>
      <w:r>
        <w:rPr>
          <w:rFonts w:ascii="Times New Roman" w:hAnsi="Times New Roman"/>
          <w:b w:val="0"/>
          <w:i/>
          <w:color w:val="555555"/>
          <w:sz w:val="22"/>
        </w:rPr>
        <w:t>Оглавление формируется в Word: выделить всё (Ctrl+A) и нажать F9.</w:t>
      </w:r>
      <w:r>
        <w:fldChar w:fldCharType="end"/>
      </w:r>
    </w:p>
    <w:p>
      <w:pPr>
        <w:spacing w:lineRule="auto" w:line="240" w:before="160" w:after="0"/>
        <w:ind w:firstLine="0"/>
      </w:pPr>
      <w:r>
        <w:rPr>
          <w:rFonts w:ascii="Times New Roman" w:hAnsi="Times New Roman"/>
          <w:b w:val="0"/>
          <w:i/>
          <w:color w:val="555555"/>
          <w:sz w:val="18"/>
        </w:rPr>
        <w:t>[Для обновления оглавления откройте в Word и нажмите Ctrl+A, затем F9]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  НАЗНАЧЕНИЕ И ПРЕДМЕТ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ТЭО оценивает экономическую целесообразность создания суверенной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низкоорбитальной системы PNT АВРОРА (LEO, 1000 км, до 300 КА) как **LEO-усиления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ГЛОНАСС**, а не его замены. Рассматриваются: источники денежного потока,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модели монетизации, финансовые показатели проекта, эффект импортозамещения,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предотвращённый ущерб и немонетизируемая стратегическая ценность.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Характер документа.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Предварительная (краткая) редакция. Рыночные и доходные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оценки имеют статус </w:t>
      </w:r>
      <w:r>
        <w:rPr>
          <w:rFonts w:ascii="Times New Roman" w:hAnsi="Times New Roman"/>
          <w:b/>
          <w:i w:val="0"/>
          <w:color w:val="000000"/>
          <w:sz w:val="28"/>
        </w:rPr>
        <w:t>экспертного прогноза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подлежат уточнению в расширенной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редакции по результатам маркетингового исследования. Затратная часть — инженерная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оценка LCC (§51 ТП), достоверность которой ограничена допущениями ТП.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  ИСХОДНЫЕ ПОЛОЖЕНИЯ И ДОПУЩЕНИЯ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Горизонт оценки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 лет (2026–2041)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§51 ТП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Ввод навигации, 100% РФ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2031 (Фаза 3, 180 КА)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§30.2 ТП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Глобальный FOC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2033,5 (Фаза 4, 300 КА)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§30.2 ТП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Сервис тайминга (LPT)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 Фазы 0 (2026,5)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§30.3 ТП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Ставка дисконтирования </w:t>
            </w: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12% (базовая); 10–14% (диапазон)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принято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Валюта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млрд ₽ (справочно $1 ≈ 90 ₽)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§51 ТП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Допущение о доходе: коммерческий поток существенно начинается </w:t>
      </w:r>
      <w:r>
        <w:rPr>
          <w:rFonts w:ascii="Times New Roman" w:hAnsi="Times New Roman"/>
          <w:b/>
          <w:i w:val="0"/>
          <w:color w:val="000000"/>
          <w:sz w:val="28"/>
        </w:rPr>
        <w:t>с 2031 г.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(100% покрытие РФ); тайминговый сервис даёт ограниченный доход с более ранних фаз.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  ЗАТРАТЫ (ИЗ §51 ТП)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Статья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 лет (2026–2033)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15 лет (2026–2041)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NRE (проектирование, квалификация)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10,8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10,8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Демонстраторы Ф0–1 (16U CubeSat)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0,82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Серия 300 КА (бус+ПН+ISL) + часы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31,35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31,35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Запуски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27,0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27,0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Наземный сегмент (CAPEX)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Восполнение группировки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11,1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51,9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OPEX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25,2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54,0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LCC, млрд ₽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113,4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≈ 183,0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CAPEX до глобального FOC (без OPEX и восполнения) ≈ </w:t>
      </w:r>
      <w:r>
        <w:rPr>
          <w:rFonts w:ascii="Times New Roman" w:hAnsi="Times New Roman"/>
          <w:b/>
          <w:i w:val="0"/>
          <w:color w:val="000000"/>
          <w:sz w:val="28"/>
        </w:rPr>
        <w:t>77,2 млрд ₽</w:t>
      </w:r>
      <w:r>
        <w:rPr>
          <w:rFonts w:ascii="Times New Roman" w:hAnsi="Times New Roman"/>
          <w:b w:val="0"/>
          <w:i w:val="0"/>
          <w:color w:val="000000"/>
          <w:sz w:val="28"/>
        </w:rPr>
        <w:t>; эксплуатационные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расходы в зрелой фазе (OPEX ≈ 3,6 + восполнение ≈ 5,2) ≈ </w:t>
      </w:r>
      <w:r>
        <w:rPr>
          <w:rFonts w:ascii="Times New Roman" w:hAnsi="Times New Roman"/>
          <w:b/>
          <w:i w:val="0"/>
          <w:color w:val="000000"/>
          <w:sz w:val="28"/>
        </w:rPr>
        <w:t>8,8 млрд ₽/год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Все статьи сверены с </w:t>
      </w:r>
      <w:r>
        <w:rPr>
          <w:rFonts w:ascii="Courier New" w:hAnsi="Courier New"/>
          <w:b w:val="0"/>
          <w:i w:val="0"/>
          <w:color w:val="7B0000"/>
          <w:sz w:val="22"/>
        </w:rPr>
        <w:t>aurora/pnt/cost_model.py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(§51 ТП).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  РЫНОК И МОДЕЛИ МОНЕТИЗАЦИИ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Денежный поток формируют свойства, недоступные MEO-системам (см. §65, §43, §28 ТП):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быстрый PPP-RTK (сходимость 1–3 мин), защищённый аутентифицированный тайминг,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аутентификация сигнала/анти-спуфинг (+23 дБ, Сервис Б) и покрытие высоких широт (75°).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Навигация L1/L5 (Сервис А, открытый) — бесплатный сервис привлечения; платны —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точность, гарантия и защита.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Сервис (модель)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Целевые потребители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Тип дохода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Высокоточное позиционирование PPP-RTK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АПК, геодезия/кадастр, стройка, карьеры, автономный транспорт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Подписка B2B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Тайминг как услуга (Timing-as-a-Service)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Связь 5G, ЦОД, энергосети, финтех/биржи, КИИ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Подписка/SLA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Аутентификация и анти-спуфинг (Сервис Б)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Оборона, КИИ, страхование грузов/БПЛА, антифрод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Гос/спец + лицензии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Арктический и спецсервис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Севморпуть, заполярная добыча, оборона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Гос + отраслевой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Открытый Сервис А монетизируется косвенно (стимулирование экосистемы приёмников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импортозамещение чипсетов), прямой выручки не несёт.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Тарифные ориентиры (фактические цены, по состоянию на июнь 2026).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Опорная цена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заимствована для оценки выручки, а не назначается как тариф АВРОРЫ: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Оператор / источник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Тариф (за устройство/сервис)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u-blox PointPerfect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$15–50/мес (usage-based)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PPP-RTK поправки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Swift Skylark / Nx RTK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от </w:t>
            </w: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29/мес (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350/год) / Nx от $15/мес (5 лет)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PPP-RTK подписка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NovAtel TerraStar-L / C Pro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580 / ≈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1 750 в год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PPP корр., профи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EFT-CORS RTK (РФ)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50 400 ₽/год за приёмник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внутренний тариф РФ (якорь ARPU)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Iridium STL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(тайминг+анти-спуфинг, LEO)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цель &gt;$100 млн/год выручки к 2030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прямой аналог Сервиса Б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Qianxun SI (КНР)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&gt;390 млн клиентов, 2 800 станций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масштаб рынка (ориентир экспорта)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Рынок Assured PNT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Courier New" w:hAnsi="Courier New"/>
                <w:b w:val="0"/>
                <w:i w:val="0"/>
                <w:color w:val="000000"/>
                <w:sz w:val="24"/>
              </w:rPr>
              <w:t>0,9 млрд (2025) →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3,0 млрд (2030), CAGR ≈ 28%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адресуемый рынок защиты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Рынок GNSS (EUSPA)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€300 млрд (2024) → €580 млрд (2034)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общий контекст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Опорный тариф высокоточного позиционирования принят </w:t>
      </w:r>
      <w:r>
        <w:rPr>
          <w:rFonts w:ascii="Times New Roman" w:hAnsi="Times New Roman"/>
          <w:b/>
          <w:i w:val="0"/>
          <w:color w:val="000000"/>
          <w:sz w:val="28"/>
        </w:rPr>
        <w:t>50 000 ₽/год за устройство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привязан к российскому рынку</w:t>
      </w:r>
      <w:r>
        <w:rPr>
          <w:rFonts w:ascii="Times New Roman" w:hAnsi="Times New Roman"/>
          <w:b w:val="0"/>
          <w:i w:val="0"/>
          <w:color w:val="000000"/>
          <w:sz w:val="28"/>
        </w:rPr>
        <w:t>: EFT-CORS RTK = 50 400 ₽/год за приёмник (фактический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тариф РФ, подтверждён в июне 2026). Зарубежный массовый вход ниже (Skylark от $29/мес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≈ </w:t>
      </w:r>
      <w:r>
        <w:rPr>
          <w:rFonts w:ascii="Courier New" w:hAnsi="Courier New"/>
          <w:b w:val="0"/>
          <w:i w:val="0"/>
          <w:color w:val="000000"/>
          <w:sz w:val="28"/>
        </w:rPr>
        <w:t>350/год), профессиональные тарифы выше (TerraStar-C Pro ≈</w:t>
      </w:r>
      <w:r>
        <w:rPr>
          <w:rFonts w:ascii="Times New Roman" w:hAnsi="Times New Roman"/>
          <w:b w:val="0"/>
          <w:i w:val="0"/>
          <w:color w:val="000000"/>
          <w:sz w:val="28"/>
        </w:rPr>
        <w:t>1 750/год) — 50 000 ₽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лежит в реалистичной середине для РФ. Iridium STL (LEO-тайминг и анти-спуфинг, цель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 xml:space="preserve">$100 млн/год) — </w:t>
      </w:r>
      <w:r>
        <w:rPr>
          <w:rFonts w:ascii="Times New Roman" w:hAnsi="Times New Roman"/>
          <w:b/>
          <w:i/>
          <w:color w:val="555555"/>
          <w:sz w:val="28"/>
        </w:rPr>
        <w:t>прямой коммерческий аналог Сервиса Б</w:t>
      </w:r>
      <w:r>
        <w:rPr>
          <w:rFonts w:ascii="Times New Roman" w:hAnsi="Times New Roman"/>
          <w:b w:val="0"/>
          <w:i/>
          <w:color w:val="555555"/>
          <w:sz w:val="28"/>
        </w:rPr>
        <w:t xml:space="preserve"> и ориентир масштаба сегментов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2–3. Qianxun SI (единый оператор точного позиционирования КНР, &gt;390 млн клиентов) задаёт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потолок спроса единого национального рынка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масштаб для оценки экспорта (берётся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как малая его доля). Тарифы TerraStar в июне 2026 повторно не сверялись (значение из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более ранних данных 2026 г.).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_tariffs_benchmark_phas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Тарифы зарубежных сервисов позиционирования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  ФИНАНСОВАЯ МОДЕЛЬ (СЦЕНАРНАЯ, РАСЧЁТНАЯ)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Выручка зрелой фазы построена </w:t>
      </w:r>
      <w:r>
        <w:rPr>
          <w:rFonts w:ascii="Times New Roman" w:hAnsi="Times New Roman"/>
          <w:b/>
          <w:i w:val="0"/>
          <w:color w:val="000000"/>
          <w:sz w:val="28"/>
        </w:rPr>
        <w:t>«снизу вверх»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 пяти сегментам на опорных тарифах §4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(модуль </w:t>
      </w:r>
      <w:r>
        <w:rPr>
          <w:rFonts w:ascii="Courier New" w:hAnsi="Courier New"/>
          <w:b w:val="0"/>
          <w:i w:val="0"/>
          <w:color w:val="7B0000"/>
          <w:sz w:val="22"/>
        </w:rPr>
        <w:t>aurora/pnt/econ_model.py</w:t>
      </w:r>
      <w:r>
        <w:rPr>
          <w:rFonts w:ascii="Times New Roman" w:hAnsi="Times New Roman"/>
          <w:b w:val="0"/>
          <w:i w:val="0"/>
          <w:color w:val="000000"/>
          <w:sz w:val="28"/>
        </w:rPr>
        <w:t>); число платящих абонентов — допущение трёх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сценариев проникновения. Сегменты 1–4 — рынок РФ+СНГ; </w:t>
      </w:r>
      <w:r>
        <w:rPr>
          <w:rFonts w:ascii="Times New Roman" w:hAnsi="Times New Roman"/>
          <w:b/>
          <w:i w:val="0"/>
          <w:color w:val="000000"/>
          <w:sz w:val="28"/>
        </w:rPr>
        <w:t>сегмент 5 (экспорт)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дружественные государства, абоненты × экспортный ARPU (50 000 ₽/год, как внутренний).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Статус доходных оценок — экспертный прогноз.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_revenue_segments_phas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2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Выручка по сегментам и сценариям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Результаты дисконтированной модели (горизонт 15 лет, </w:t>
      </w:r>
      <w:r>
        <w:rPr>
          <w:rFonts w:ascii="Courier New" w:hAnsi="Courier New"/>
          <w:b w:val="0"/>
          <w:i w:val="0"/>
          <w:color w:val="000000"/>
          <w:sz w:val="28"/>
        </w:rPr>
        <w:t>r</w:t>
      </w:r>
      <w:r>
        <w:rPr>
          <w:rFonts w:ascii="Times New Roman" w:hAnsi="Times New Roman"/>
          <w:b w:val="0"/>
          <w:i w:val="0"/>
          <w:color w:val="000000"/>
          <w:sz w:val="28"/>
        </w:rPr>
        <w:t>=12%; источник — расчёт</w:t>
      </w:r>
    </w:p>
    <w:p>
      <w:pPr>
        <w:spacing w:lineRule="auto" w:line="360" w:before="0" w:after="0"/>
        <w:ind w:firstLine="709"/>
        <w:jc w:val="both"/>
      </w:pPr>
      <w:r>
        <w:rPr>
          <w:rFonts w:ascii="Courier New" w:hAnsi="Courier New"/>
          <w:b w:val="0"/>
          <w:i w:val="0"/>
          <w:color w:val="7B0000"/>
          <w:sz w:val="22"/>
        </w:rPr>
        <w:t>econ_model.py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выгрузка </w:t>
      </w:r>
      <w:r>
        <w:rPr>
          <w:rFonts w:ascii="Courier New" w:hAnsi="Courier New"/>
          <w:b w:val="0"/>
          <w:i w:val="0"/>
          <w:color w:val="7B0000"/>
          <w:sz w:val="22"/>
        </w:rPr>
        <w:t>results/econ/econ_summary_phase5.csv</w:t>
      </w:r>
      <w:r>
        <w:rPr>
          <w:rFonts w:ascii="Times New Roman" w:hAnsi="Times New Roman"/>
          <w:b w:val="0"/>
          <w:i w:val="0"/>
          <w:color w:val="000000"/>
          <w:sz w:val="28"/>
        </w:rPr>
        <w:t>):</w:t>
      </w:r>
    </w:p>
    <w:p>
      <w:pPr>
        <w:spacing w:lineRule="auto" w:line="240" w:before="280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Таблица 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Пессим.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Базовый</w:t>
            </w:r>
          </w:p>
        </w:tc>
        <w:tc>
          <w:tcPr>
            <w:tcW w:type="dxa" w:w="2339"/>
            <w:vAlign w:val="center"/>
            <w:shd w:val="clear" w:color="auto" w:fill="D9E1F2"/>
          </w:tcPr>
          <w:p>
            <w:pPr>
              <w:spacing w:lineRule="auto" w:line="240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Оптим.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Выручка зрелой фазы, млрд ₽/год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4,0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31,5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 т.ч. экспорт (СНГ+друж.), млрд ₽/год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7,5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Операционные расходы (OPEX+восполн.), млрд ₽/год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8,8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8,8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8,8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Коммерческий NPV (15 лет, $r$=12%), млрд ₽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−77,3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−43,5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+3,6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Коммерческий IRR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не опр. (&lt;0)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−6,6%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+13,1%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Простой срок окупаемости CAPEX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 15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 15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11 лет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Дисконтированный срок окупаемости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 15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&gt; 15 лет</w:t>
            </w:r>
          </w:p>
        </w:tc>
        <w:tc>
          <w:tcPr>
            <w:tcW w:type="dxa" w:w="2339"/>
            <w:vAlign w:val="center"/>
          </w:tcPr>
          <w:p>
            <w:pPr>
              <w:spacing w:lineRule="auto" w:line="240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≈ 15 лет</w:t>
            </w:r>
          </w:p>
        </w:tc>
      </w:tr>
    </w:tbl>
    <w:p>
      <w:pPr>
        <w:spacing w:lineRule="auto" w:line="240" w:before="0" w:after="120"/>
        <w:ind w:firstLine="0"/>
      </w:pP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_cashflow_npv_phas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3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Кумулятивный NPV и годовые потоки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Интерпретация (главный вывод).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В </w:t>
      </w:r>
      <w:r>
        <w:rPr>
          <w:rFonts w:ascii="Times New Roman" w:hAnsi="Times New Roman"/>
          <w:b/>
          <w:i w:val="0"/>
          <w:color w:val="000000"/>
          <w:sz w:val="28"/>
        </w:rPr>
        <w:t>базовом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сценарии полной коммерческой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окупаемости LCC не достигается: NPV −43,5 млрд ₽, IRR ниже ставки. Причина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структурная — CAPEX 77,2 млрд ₽ понесён в 2026–2033 гг., а выручка выходит на зрелость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лишь после 2031 г. (ввод навигации) и при </w:t>
      </w:r>
      <w:r>
        <w:rPr>
          <w:rFonts w:ascii="Courier New" w:hAnsi="Courier New"/>
          <w:b w:val="0"/>
          <w:i w:val="0"/>
          <w:color w:val="000000"/>
          <w:sz w:val="28"/>
        </w:rPr>
        <w:t>r</w:t>
      </w:r>
      <w:r>
        <w:rPr>
          <w:rFonts w:ascii="Times New Roman" w:hAnsi="Times New Roman"/>
          <w:b w:val="0"/>
          <w:i w:val="0"/>
          <w:color w:val="000000"/>
          <w:sz w:val="28"/>
        </w:rPr>
        <w:t>=12% сильно дисконтируется. Это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нормально и ожидаемо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суверенной PNT-инфраструктуры: GPS, Galileo и ГЛОНАСС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также не являются коммерчески самоокупаемыми и финансируются государством. Вместе 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тем </w:t>
      </w:r>
      <w:r>
        <w:rPr>
          <w:rFonts w:ascii="Times New Roman" w:hAnsi="Times New Roman"/>
          <w:b/>
          <w:i w:val="0"/>
          <w:color w:val="000000"/>
          <w:sz w:val="28"/>
        </w:rPr>
        <w:t>оптимистический сценарий выходит в коммерческий плюс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(NPV +3,6 млрд ₽,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IRR 13,1% &gt; ставки, окупаемость ≈ 11 лет) — и решающий вклад в этот перелом даёт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экспорт</w:t>
      </w:r>
      <w:r>
        <w:rPr>
          <w:rFonts w:ascii="Times New Roman" w:hAnsi="Times New Roman"/>
          <w:b w:val="0"/>
          <w:i w:val="0"/>
          <w:color w:val="000000"/>
          <w:sz w:val="28"/>
        </w:rPr>
        <w:t>: рост экспортных абонентов с 50 тыс. (базовый) до 150 тыс. добавляет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+5 млрд ₽/год выручки. Таким образом, экспорт — главный коммерческий рычаг, способный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довести проект до самоокупаемости.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Мост ценности (базовый сценарий).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Коммерческий NPV −43,5 млрд ₽ + избегаемая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закупка западных часов (импортозамещение) +18,9 млрд ₽ = остаточный экономический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разрыв ≈ </w:t>
      </w:r>
      <w:r>
        <w:rPr>
          <w:rFonts w:ascii="Times New Roman" w:hAnsi="Times New Roman"/>
          <w:b/>
          <w:i w:val="0"/>
          <w:color w:val="000000"/>
          <w:sz w:val="28"/>
        </w:rPr>
        <w:t>−24,6 млрд ₽ (NPV)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который закрывается </w:t>
      </w:r>
      <w:r>
        <w:rPr>
          <w:rFonts w:ascii="Times New Roman" w:hAnsi="Times New Roman"/>
          <w:b/>
          <w:i w:val="0"/>
          <w:color w:val="000000"/>
          <w:sz w:val="28"/>
        </w:rPr>
        <w:t>не коммерчески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бюджетным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мандатом, стратегической ценностью и предотвращённым ущербом от подавления/подмены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GNSS (последний здесь не монетизирован, §7).</w:t>
      </w:r>
    </w:p>
    <w:p>
      <w:pPr>
        <w:spacing w:lineRule="auto" w:line="240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4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_integral_value_phas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4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Рисунок 4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Мост ценности: коммерция + импортозамещение → остаточный разрыв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6  ЭФФЕКТ ИМПОРТОЗАМЕЩЕНИЯ (МОНЕТИЗИРУЕМЫЙ, §51 ТП)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Бортовые стандарты частоты РФ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(CSAC + space-Rb) дешевле западных аналогов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(Microsemi 5071A space-qual) в ≈ 14 раз → экономия ≈ </w:t>
      </w:r>
      <w:r>
        <w:rPr>
          <w:rFonts w:ascii="Times New Roman" w:hAnsi="Times New Roman"/>
          <w:b/>
          <w:i w:val="0"/>
          <w:color w:val="000000"/>
          <w:sz w:val="28"/>
        </w:rPr>
        <w:t>18,9 млрд ₽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за серию.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Стоимость программы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≈ 113 млрд ₽ (≈ </w:t>
      </w:r>
      <w:r>
        <w:rPr>
          <w:rFonts w:ascii="Courier New" w:hAnsi="Courier New"/>
          <w:b w:val="0"/>
          <w:i w:val="0"/>
          <w:color w:val="000000"/>
          <w:sz w:val="28"/>
        </w:rPr>
        <w:t>1,26 млрд) за 7 лет против</w:t>
      </w:r>
      <w:r>
        <w:rPr>
          <w:rFonts w:ascii="Times New Roman" w:hAnsi="Times New Roman"/>
          <w:b w:val="0"/>
          <w:i w:val="0"/>
          <w:color w:val="000000"/>
          <w:sz w:val="28"/>
        </w:rPr>
        <w:t>10+ млрд 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GPS/Galileo — экономия более чем на порядок при сопоставимом наборе сервисов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(за счёт малых КА, отечественных часов, серийности).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Независимость от иностранной критической ЭКБ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(MIS-08, §35/§51 ТП) снимает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риск санкционной остановки производства.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7  ПРЕДОТВРАЩЁННЫЙ УЩЕРБ (АНТИ-СПУФИНГ / АНТИ-ДЖЕМ)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Сервис Б обеспечивает аутентифицированный сигнал и тайминг, устойчивые к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подавлению и подмене. Экономическая зависимость транспорта, авиации, энергетики,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связи и финансов от GNSS высока; инциденты подавления/подмены GNSS в приграничье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акваториях документированы и нарастают. Предотвращённый ущерб от срывов PNT/UTC —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ключевая статья, закрывающая остаточный экономический разрыв §5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(≈ 25 млрд ₽ NPV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 базовом сценарии), но в настоящей редакции </w:t>
      </w:r>
      <w:r>
        <w:rPr>
          <w:rFonts w:ascii="Times New Roman" w:hAnsi="Times New Roman"/>
          <w:b/>
          <w:i w:val="0"/>
          <w:color w:val="000000"/>
          <w:sz w:val="28"/>
        </w:rPr>
        <w:t>не монетизирована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(требует отдельной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количественной оценки). Косвенный масштаб задаёт рынок Assured PNT ($3,0 млрд к 2030,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§4): сам факт его роста на ≈ 28%/год отражает готовность платить за защиту от срывов.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8  СТРАТЕГИЧЕСКАЯ (НЕМОНЕТИЗИРУЕМАЯ) ЦЕННОСТЬ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Суверенный гарантированный PNT и эталон времени при деградации/недоступности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иностранных и собственных MEO-средств.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Технологический задел: серийные малые нав-КА, ISL, бортовые часы, наземный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комплекс времени (SHIWA TIME) — основа для смежных программ.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Геополитическая устойчивость КИИ и обороны; </w:t>
      </w:r>
      <w:r>
        <w:rPr>
          <w:rFonts w:ascii="Times New Roman" w:hAnsi="Times New Roman"/>
          <w:b/>
          <w:i w:val="0"/>
          <w:color w:val="000000"/>
          <w:sz w:val="28"/>
        </w:rPr>
        <w:t>экспорт сервиса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для дружественных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государств выделен отдельным расчётным сегментом (§5): 0,5 / 2,5 / 7,5 млрд ₽/год по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сценариям. Масштаб берётся как малая доля единого рынка-аналога (Qianxun, КНР,</w:t>
      </w:r>
    </w:p>
    <w:p>
      <w:pPr>
        <w:spacing w:lineRule="auto" w:line="360" w:before="80" w:after="80"/>
        <w:ind w:firstLine="0" w:left="850" w:right="850"/>
        <w:jc w:val="both"/>
      </w:pPr>
      <w:r>
        <w:rPr>
          <w:rFonts w:ascii="Times New Roman" w:hAnsi="Times New Roman"/>
          <w:b w:val="0"/>
          <w:i/>
          <w:color w:val="555555"/>
          <w:sz w:val="28"/>
        </w:rPr>
        <w:t>390 млн клиентов, §4); в оптимистическом сценарии экспорт переводит проект 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коммерческий плюс.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9  ЧУВСТВИТЕЛЬНОСТЬ И РИСКИ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MTBF КА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главный рычаг LCC: при росте ресурса 7 → 20 лет восполнение за 15 лет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снижается 74,8 → 26,2 млрд ₽, LCC-15 — 206 → 157 млрд ₽ (§51.3 ТП). Прямо улучшает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 финансовые показатели.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Темп проникновения сервисов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определяет переход между сценариями §5; ключевой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рыночный риск.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Экспорт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главный коммерческий рычаг: переход 50→150 тыс. экспортных абонентов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(база→оптимизм) переводит NPV из −43,5 в +3,6 млрд ₽. Риски — геополитические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(доступ на рынки дружественных стран) и конкуренция (Qianxun, Geespace, Xona).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Сценарий охвата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региональный РФ+СНГ (180 КА, LCC-7 ≈ 92,9 млрд ₽, §51.4 ТП)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снижает CAPEX и порог окупаемости при отказе от глобального покрытия.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/>
          <w:i w:val="0"/>
          <w:color w:val="000000"/>
          <w:sz w:val="28"/>
        </w:rPr>
        <w:t>Валютный/закупочный риск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— частично снят импортозамещением (§6).</w:t>
      </w:r>
    </w:p>
    <w:p>
      <w:r>
        <w:br w:type="page"/>
      </w:r>
    </w:p>
    <w:p>
      <w:pPr>
        <w:pStyle w:val="Heading1"/>
        <w:keepNext/>
        <w:spacing w:lineRule="auto" w:line="240" w:before="360" w:after="1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10  ВЫВОДЫ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1) </w:t>
      </w:r>
      <w:r>
        <w:rPr>
          <w:rFonts w:ascii="Times New Roman" w:hAnsi="Times New Roman"/>
          <w:b w:val="0"/>
          <w:i w:val="0"/>
          <w:color w:val="000000"/>
          <w:sz w:val="28"/>
        </w:rPr>
        <w:t>Проект АВРОРА экономически целесообразен как **суверенная стратегическая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инфраструктура двойного назначения с частичной коммерческой самоокупаемостью**,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 не как чисто коммерческое предприятие с полным возвратом инвестиций.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2) </w:t>
      </w:r>
      <w:r>
        <w:rPr>
          <w:rFonts w:ascii="Times New Roman" w:hAnsi="Times New Roman"/>
          <w:b/>
          <w:i w:val="0"/>
          <w:color w:val="000000"/>
          <w:sz w:val="28"/>
        </w:rPr>
        <w:t>Денежный поток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концентрируется в тайминге, аутентификации/анти-спуфинге 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сантиметровом PPP-RTK; открытая навигация служит якорем экосистемы.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3) </w:t>
      </w:r>
      <w:r>
        <w:rPr>
          <w:rFonts w:ascii="Times New Roman" w:hAnsi="Times New Roman"/>
          <w:b/>
          <w:i w:val="0"/>
          <w:color w:val="000000"/>
          <w:sz w:val="28"/>
        </w:rPr>
        <w:t>Коммерческая окупаемость зависит от экспорта.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Базовый сценарий — NPV −43,5 млрд ₽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(не окупается, как и все государственные GNSS); **оптимистический — NPV +3,6 млрд ₽,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IRR 13,1%** за счёт экспорта в дружественные страны. С учётом импортозамещения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(+18,9 млрд ₽) остаточный разрыв базового сценария ≈ 25 млрд ₽ (NPV) — «цена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суверенитета», подлежащая бюджетному покрытию; ущерб от срывов GNSS не монетизирован.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Решающие рычаги эффективности — </w:t>
      </w:r>
      <w:r>
        <w:rPr>
          <w:rFonts w:ascii="Times New Roman" w:hAnsi="Times New Roman"/>
          <w:b/>
          <w:i w:val="0"/>
          <w:color w:val="000000"/>
          <w:sz w:val="28"/>
        </w:rPr>
        <w:t>экспорт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8"/>
        </w:rPr>
        <w:t>ресурс КА (MTBF)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и **темп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проникновения платных сервисов**; выбор охвата (300 vs 180 КА) — управленческое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решение «глобальный сервис / суверенное покрытие РФ дешевле».</w:t>
      </w:r>
    </w:p>
    <w:p>
      <w:pPr>
        <w:spacing w:lineRule="auto" w:line="360" w:before="0" w:after="0"/>
        <w:ind w:left="709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5)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перевода в окончательную редакцию требуется </w:t>
      </w:r>
      <w:r>
        <w:rPr>
          <w:rFonts w:ascii="Times New Roman" w:hAnsi="Times New Roman"/>
          <w:b/>
          <w:i w:val="0"/>
          <w:color w:val="000000"/>
          <w:sz w:val="28"/>
        </w:rPr>
        <w:t>маркетинговое исследование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(объёмы сегментов, эластичность спроса, тарифы) и **количественная оценка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предотвращённого ущерба**.</w:t>
      </w:r>
    </w:p>
    <w:p>
      <w:pPr>
        <w:pStyle w:val="Heading2"/>
        <w:keepNext/>
        <w:spacing w:lineRule="auto" w:line="240" w:before="280" w:after="120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10.1  Источники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Внутренние: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§30, §31, §35, §51, §65 технического проекта СИЯНИЕ-ТП-001;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расчётный модуль </w:t>
      </w:r>
      <w:r>
        <w:rPr>
          <w:rFonts w:ascii="Courier New" w:hAnsi="Courier New"/>
          <w:b w:val="0"/>
          <w:i w:val="0"/>
          <w:color w:val="7B0000"/>
          <w:sz w:val="22"/>
        </w:rPr>
        <w:t>aurora/pnt/econ_model.py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, выгрузка </w:t>
      </w:r>
      <w:r>
        <w:rPr>
          <w:rFonts w:ascii="Courier New" w:hAnsi="Courier New"/>
          <w:b w:val="0"/>
          <w:i w:val="0"/>
          <w:color w:val="7B0000"/>
          <w:sz w:val="22"/>
        </w:rPr>
        <w:t>results/econ/econ_summary_phase5.csv</w:t>
      </w:r>
      <w:r>
        <w:rPr>
          <w:rFonts w:ascii="Times New Roman" w:hAnsi="Times New Roman"/>
          <w:b w:val="0"/>
          <w:i w:val="0"/>
          <w:color w:val="000000"/>
          <w:sz w:val="28"/>
        </w:rPr>
        <w:t>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Тарифы и рынок (веб, 2026):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u-blox PointPerfect — usage-based plans: https://www.u-blox.com/en/PointPerfect-usage-based-plans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Swift Navigation Skylark: https://www.swiftnav.com/products/skylark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NovAtel/TerraStar service options: https://terrastar.net/services/terrastar-service-options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Iridium STL (Satellite Time &amp; Location), цель &gt;$100 млн/год к 2030: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https://investor.iridium.com/2024-04-02-Iridium-Completes-Satelles-Acquisition-Introduces-Iridium-Satellite-Time-and-Location-STL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Satellite PNT / Assured PNT market (MarketsandMarkets):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https://www.marketsandmarkets.com/Market-Reports/satellite-positioning-navigation-timing-pnt-market-67260062.html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EUSPA EO &amp; GNSS Market Report 2024: https://www.euspa.europa.eu/sites/default/files/euspa</w:t>
      </w:r>
      <w:r>
        <w:rPr>
          <w:rFonts w:ascii="Times New Roman" w:hAnsi="Times New Roman"/>
          <w:b w:val="0"/>
          <w:i/>
          <w:color w:val="000000"/>
          <w:sz w:val="28"/>
        </w:rPr>
        <w:t>market</w:t>
      </w:r>
      <w:r>
        <w:rPr>
          <w:rFonts w:ascii="Times New Roman" w:hAnsi="Times New Roman"/>
          <w:b w:val="0"/>
          <w:i w:val="0"/>
          <w:color w:val="000000"/>
          <w:sz w:val="28"/>
        </w:rPr>
        <w:t>report_2024.pdf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Xona Space (Pulsar): https://www.xonaspace.com/pulsar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EFT-CORS (РФ), тарифы RTK: https://eft-cors.ru/prices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8"/>
        </w:rPr>
        <w:t>Qianxun SI (КНР), масштаб рынка: https://en.qxwz.com/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Методическая база: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методические рекомендации по оценке эффективности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инвестиционных проектов (РФ); ГОСТ Р 15.201-2000.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*Затратная часть — инженерная оценка LCC (§51 ТП). Доходные показатели —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предварительный экспертный прогноз: тарифы фактические, число абонентов — допущение,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подлежащее уточнению маркетинговым исследованием.*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t xml:space="preserve"> PAGE </w:t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