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3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Основание: приказ ООО «ШИВА НЕТВОРК» № 11/2026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36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0"/>
        </w:rPr>
        <w:t>НАУЧНО-ИССЛЕДОВАТЕЛЬСКАЯ РАБОТА «СИЯНИЕ»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Шифр НИР: «Сияние».  Документ: СИЯНИЕ-ТП-001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68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192 рис., 135 табл., 49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научно-исследовательской работы «Сияние» (основание — приказ ООО «ШИВА НЕТВОРК» № 11/2026)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усиление ГЛОНАСС (а не замена MEO-навигации) — с улучшенными характеристиками сигнала, синхронизации и геометрии покрытия, дополняющими существующую среднеорбитальную группировку.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привязка к национальной шкале UTC(SU) (H-мазер ВРЕМЯ-Ч, §8) — независимо от зарубежных ГНСС (GPS/Galileo/BeiDou) и иностранной инфраструктуры 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Суверенность инфраструктуры: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датум ПЗ-90.11 (§64), криптозащита навигационного сообщения на ГОСТ (§16), отечественная элементная и наземная база, промышленная кооперация (§66).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 — космического (группировка КА с ISL),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пользовательского и наземного (МКС):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62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_diagram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Структурная схема сегментов системы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 (L1/L5, 5/3 Вт) + Сервис Б (выдел. L, 30 Вт), антенны RHCP/изо-flux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≈ 175 м/с (удержание + увод, §19.2)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кг + 30 кг топлива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160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Общий вид системы — группировка Walker 300/15 на орбите 1000 км (наклонение 75°)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конфигурация космического аппарата с подписанными элементами (навигационная ПН надира,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солнечные панели, межспутниковые линии Ka, звёздный датчик):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5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_render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Группировка АВРОРА на орбите и конфигурация 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Интерактивная 3D-сцена с реальными (время-динамическими) орбитами и полноценной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glTF-моделью КА доступна как </w:t>
      </w:r>
      <w:r>
        <w:rPr>
          <w:rFonts w:ascii="Courier New" w:hAnsi="Courier New"/>
          <w:b w:val="0"/>
          <w:i/>
          <w:color w:val="555555"/>
          <w:sz w:val="22"/>
        </w:rPr>
        <w:t>results/cesium/cesium_gltf_phase4.html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(открыть в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браузере; CLI </w:t>
      </w:r>
      <w:r>
        <w:rPr>
          <w:rFonts w:ascii="Courier New" w:hAnsi="Courier New"/>
          <w:b w:val="0"/>
          <w:i/>
          <w:color w:val="555555"/>
          <w:sz w:val="22"/>
        </w:rPr>
        <w:t>cesium-gltf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, офлайн — после </w:t>
      </w:r>
      <w:r>
        <w:rPr>
          <w:rFonts w:ascii="Courier New" w:hAnsi="Courier New"/>
          <w:b w:val="0"/>
          <w:i/>
          <w:color w:val="555555"/>
          <w:sz w:val="22"/>
        </w:rPr>
        <w:t>download-cesium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концепция: спутник, сигнал, потребители,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по четырём классам потребителей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MEO-ГНСС (ГЛОНАСС):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и данных от атомных часов до навигационного решения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−156 дБ в зените,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152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160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Геометрия группировки на глобусе (не плоская проекция) — PDOP и N_vis по поверхности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Земли; видно усиление к ±75° (наклонение) и ослабление на экваторе: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op_globe_phas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и N_vis на глобусе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Динамика покрытия (движение группировки, бегущие зоны видимости и N_vis(t) для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наземного пользователя) представлена видео </w:t>
      </w:r>
      <w:r>
        <w:rPr>
          <w:rFonts w:ascii="Courier New" w:hAnsi="Courier New"/>
          <w:b w:val="0"/>
          <w:i/>
          <w:color w:val="555555"/>
          <w:sz w:val="22"/>
        </w:rPr>
        <w:t>results/constellation_anim/constellation_flyby_phase4.mp4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(H.264, 1560×1020; CLI </w:t>
      </w:r>
      <w:r>
        <w:rPr>
          <w:rFonts w:ascii="Courier New" w:hAnsi="Courier New"/>
          <w:b w:val="0"/>
          <w:i/>
          <w:color w:val="555555"/>
          <w:sz w:val="22"/>
        </w:rPr>
        <w:t>constellation-anim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31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3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≤21 с (7 с с A-GNSS, §27.3)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4370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9327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Спектр рекомендованного сигнала АВРОРА: ПСД каналов L1 (BOC/TMBOC) и L5 (BPSK(10))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Антенно-сигнальная сводка: 3D-диаграммы направленности изо-flux антенн Сервиса А (RNSS)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Сервиса Б (защищённый, §65), созвездие сигнала L1C (данные+пилот) и waterfall-спектрограмма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канала L1 с перемежающейся помехой (иллюстрация помехозащиты §15):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enna_signal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Антенны А/Б, созвездие сигнала и спектрограмма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Согласование терминологии (§27.3).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Значения таблицы предполагают наличие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действующего </w:t>
      </w:r>
      <w:r>
        <w:rPr>
          <w:rFonts w:ascii="Times New Roman" w:hAnsi="Times New Roman"/>
          <w:b/>
          <w:i/>
          <w:color w:val="555555"/>
          <w:sz w:val="28"/>
        </w:rPr>
        <w:t>альманаха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(заводская загрузка либо кэш) — в классической градации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это «тёплый» сценарий по альманаху. </w:t>
      </w:r>
      <w:r>
        <w:rPr>
          <w:rFonts w:ascii="Times New Roman" w:hAnsi="Times New Roman"/>
          <w:b/>
          <w:i/>
          <w:color w:val="555555"/>
          <w:sz w:val="28"/>
        </w:rPr>
        <w:t>Истинно холодный старт без альманаха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требует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его приёма по медленному навигационному каналу (≈ 112 с) и слепого доплеровского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поиска, что даёт TTFF ≈ </w:t>
      </w:r>
      <w:r>
        <w:rPr>
          <w:rFonts w:ascii="Times New Roman" w:hAnsi="Times New Roman"/>
          <w:b/>
          <w:i/>
          <w:color w:val="555555"/>
          <w:sz w:val="28"/>
        </w:rPr>
        <w:t>149 с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(§27.3). Ассистирование A-GNSS (§27.3) снимает оба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вклада и возвращает TTFF к ≈ </w:t>
      </w:r>
      <w:r>
        <w:rPr>
          <w:rFonts w:ascii="Times New Roman" w:hAnsi="Times New Roman"/>
          <w:b/>
          <w:i/>
          <w:color w:val="555555"/>
          <w:sz w:val="28"/>
        </w:rPr>
        <w:t>7 с</w:t>
      </w:r>
      <w:r>
        <w:rPr>
          <w:rFonts w:ascii="Times New Roman" w:hAnsi="Times New Roman"/>
          <w:b w:val="0"/>
          <w:i/>
          <w:color w:val="555555"/>
          <w:sz w:val="28"/>
        </w:rPr>
        <w:t>. Таким образом строка «Холодный» (21,3 с) — это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старт с известным альманахом, а 149 с — старт «с нуля».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Rb (Quantum-18, RAFS-класс)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 элементной базы (см. OP-06, §67.4).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Космический рубидий </w:t>
      </w:r>
      <w:r>
        <w:rPr>
          <w:rFonts w:ascii="Times New Roman" w:hAnsi="Times New Roman"/>
          <w:b/>
          <w:i w:val="0"/>
          <w:color w:val="000000"/>
          <w:sz w:val="28"/>
        </w:rPr>
        <w:t>Quantum-18 разрабатывается ООО «ШИВА НЕТВОРК» в параллельном проекте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(собственная разработка стандарта частоты). Терминальный </w:t>
      </w:r>
      <w:r>
        <w:rPr>
          <w:rFonts w:ascii="Times New Roman" w:hAnsi="Times New Roman"/>
          <w:b/>
          <w:i w:val="0"/>
          <w:color w:val="000000"/>
          <w:sz w:val="28"/>
        </w:rPr>
        <w:t>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ведётся </w:t>
      </w:r>
      <w:r>
        <w:rPr>
          <w:rFonts w:ascii="Times New Roman" w:hAnsi="Times New Roman"/>
          <w:b/>
          <w:i w:val="0"/>
          <w:color w:val="000000"/>
          <w:sz w:val="28"/>
        </w:rPr>
        <w:t>поиск партнёра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создания/локализации чип-масштабного цезиевого стандарта; до его готовности в проекте заданы граничные ТТХ (Таблица 19) и предусмотрена квалификация на демонстраторах Фаз 0–1 (§4.3, §66).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космического Rb (RAFS, </w:t>
      </w:r>
      <w:r>
        <w:rPr>
          <w:rFonts w:ascii="Courier New" w:hAnsi="Courier New"/>
          <w:b w:val="0"/>
          <w:i w:val="0"/>
          <w:color w:val="000000"/>
          <w:sz w:val="28"/>
        </w:rPr>
        <w:t>σ_0 = 5×10⁻¹²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τ=1 с)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5 × 10⁻¹² × √(100) × 10⁹ = 5 × 10⁻¹² × 10 × 10⁹ ≈ 50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5 × 10⁻¹² × √(3600) × 10⁹ = 5 × 10⁻¹² × 60 × 10⁹ ≈ 0,3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абонентский (бытовой класс)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Строка OCXO здесь — </w:t>
      </w:r>
      <w:r>
        <w:rPr>
          <w:rFonts w:ascii="Times New Roman" w:hAnsi="Times New Roman"/>
          <w:b/>
          <w:i/>
          <w:color w:val="555555"/>
          <w:sz w:val="28"/>
        </w:rPr>
        <w:t>бытовой абонентский класс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(1×10⁻¹⁰). Опорные узлы наземной сети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SHIWA TIME используют OCXO </w:t>
      </w:r>
      <w:r>
        <w:rPr>
          <w:rFonts w:ascii="Times New Roman" w:hAnsi="Times New Roman"/>
          <w:b/>
          <w:i/>
          <w:color w:val="555555"/>
          <w:sz w:val="28"/>
        </w:rPr>
        <w:t>Stratum 3E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(Rakon/SiTime, 5×10⁻¹², §8.1) с существенно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бо́льшим холдовером, либо миниатюрный CSAC для автономного удержания (§28.4).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(термостабилизация бортового CSAC —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Принятые </w:t>
      </w:r>
      <w:r>
        <w:rPr>
          <w:rFonts w:ascii="Times New Roman" w:hAnsi="Times New Roman"/>
          <w:b/>
          <w:i w:val="0"/>
          <w:color w:val="000000"/>
          <w:sz w:val="28"/>
        </w:rPr>
        <w:t>1,0 нс/хоп (0,30 м)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консервативная эксплуатационная оценка с запасом на стабильность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фазового центра антенны, многолучёвость и остаток калибровки; тепловой предел кодовой ISL-дальности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 ниже (≈ 0,03 м, §9.4), а переход на фазовую ISL даёт 0,03 нс/хоп (§8.6) — то есть бюджет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имеет встроенный резерв.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5×10⁻¹²/с,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259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Топология mesh-сети ISL (внутриплоскостные кольца + межплоскостные линии) и иерархия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gossip-консенсуса SHIWA TIME-Space (Shard → Region → Global, §28.6.4):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mesh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 ISL-mesh и иерархия gossip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1428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1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02737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2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94545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9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это </w:t>
      </w:r>
      <w:r>
        <w:rPr>
          <w:rFonts w:ascii="Times New Roman" w:hAnsi="Times New Roman"/>
          <w:b/>
          <w:i w:val="0"/>
          <w:color w:val="000000"/>
          <w:sz w:val="28"/>
        </w:rPr>
        <w:t>2,6 % канальной скорости 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(§7.2) или </w:t>
      </w:r>
      <w:r>
        <w:rPr>
          <w:rFonts w:ascii="Times New Roman" w:hAnsi="Times New Roman"/>
          <w:b/>
          <w:i w:val="0"/>
          <w:color w:val="000000"/>
          <w:sz w:val="28"/>
        </w:rPr>
        <w:t>5,1 % информационной скорости 250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кодирования LDPC(1/2).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3553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3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А (L1/L5, открытый)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Б (выдел. L, 30 Вт, защищённый)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перигей ≈ 550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§22.2, 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≈ 550 км, естественный сход ≤ 25 лет, §22.2).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Рабочий диапазон бортового CSAC: −10°C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 физического пакета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160 Вт·ч с разрядом 80% (128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≈ 11%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 (с учётом двухсервисной нагрузки, §18).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(1,05 м/с — статья общего бюджета ΔV, §19.2).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≈ 14 в среднем, 7–22 по широте; §5, §46)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PDOP p95 здесь приведён для зоны РФ (рабочий регион). Глобальный автономный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p95 в номинале — ≈ 5,0 (§5.3, §67.1); комбинированный с ГЛОНАСС над РФ — 1,67 (§8.6).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1892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8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8823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8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Реализация и стандарты.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SHIWA TIME — не концепция, а действующий программный демон (ShiwaNetwork, язык Go): NTP/NTS (RFC 5905/8915), PTP IEEE 1588-2008/2019 с профилями ITU-T </w:t>
      </w:r>
      <w:r>
        <w:rPr>
          <w:rFonts w:ascii="Times New Roman" w:hAnsi="Times New Roman"/>
          <w:b/>
          <w:i w:val="0"/>
          <w:color w:val="000000"/>
          <w:sz w:val="28"/>
        </w:rPr>
        <w:t>G.8275.1/G.8275.2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PPS, GNSS/NMEA, управление аппаратными часами PHC, mesh PTP² на libp2p и иерархический gossip-консенсус. Холдовер и классы часов —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синхронизация частоты — по G.8261/G.8262. Опорные узлы строятся на открытой аппаратной платформе </w:t>
      </w:r>
      <w:r>
        <w:rPr>
          <w:rFonts w:ascii="Times New Roman" w:hAnsi="Times New Roman"/>
          <w:b/>
          <w:i w:val="0"/>
          <w:color w:val="000000"/>
          <w:sz w:val="28"/>
        </w:rPr>
        <w:t>Open TimeCard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(стандарт IEEE P3335, Time Card) с многоконстелляционным GNSS-приёмником (включая ГЛОНАСС), дисциплинируемым осциллятором (OCXO/CSAC) и миниатюрным атомным стандартом Microchip MAC/SA5x — той же линейкой CSAC, что и бортовой стандарт АВРОРА (§8). Это обеспечивает единую суверенную экосистему «космос — земля» на отечественной программно-аппаратной базе.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Метод оценки задержки зависит от среды, поэтому SHIWA TIME реализуется как </w:t>
      </w:r>
      <w:r>
        <w:rPr>
          <w:rFonts w:ascii="Times New Roman" w:hAnsi="Times New Roman"/>
          <w:b/>
          <w:i w:val="0"/>
          <w:color w:val="000000"/>
          <w:sz w:val="28"/>
        </w:rPr>
        <w:t>семейство из двух вариантов с общим ядром распределённого ансамбля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(без единого грандмастера):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TIME-Ground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(§28.4) — для IP-сетей с переменными очередями: фильтр «счастливого пакета» (минимум по окну), асимметрия очередей.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(§28.6) — для межспутниковых линий: «счастливый пакет» неприменим (в радиоканале нет очередей), вместо него — двусторонний обмен метками (TWSTT, §8.3) с детерминированной коррекцией релятивистики/Саньяка по эфемеридам; так обрабатывается асимметрия ISL (движение КА, разные пути).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Оба варианта питают единую ансамблевую шкалу. На участке «спутник → одиночный приёмник» сохраняется прямая геометрическая коррекция LPT (§28.3); SHIWA TIME-Space работает на уровне группировки — формирует распределённый эталон (§28.6).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28.6  SHIWA TIME-Space: распределённый ансамблевый эталон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Развитие проекта —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(ансамблевый) эталон времени и частоты на группировке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Вместо дорогого атомного стандарта на каждом из 300 КА протокол SHIWA TIME-Space синхронизирует созвездие по ISL в единую </w:t>
      </w:r>
      <w:r>
        <w:rPr>
          <w:rFonts w:ascii="Times New Roman" w:hAnsi="Times New Roman"/>
          <w:b/>
          <w:i w:val="0"/>
          <w:color w:val="000000"/>
          <w:sz w:val="28"/>
        </w:rPr>
        <w:t>составную (ансамблевую) шкалу</w:t>
      </w:r>
      <w:r>
        <w:rPr>
          <w:rFonts w:ascii="Times New Roman" w:hAnsi="Times New Roman"/>
          <w:b w:val="0"/>
          <w:i w:val="0"/>
          <w:color w:val="000000"/>
          <w:sz w:val="28"/>
        </w:rPr>
        <w:t>: дешёвые чип-цезиевые CSAC-терминалы на всех КА дисциплинируются по немногим якорям space-Rb (~15) и наземному H-мазеру (§8). Это прямая аналогия тому, как международное время UTC вычисляется не по одним часам, а как взвешенное среднее множества эталонов мира — здесь тот же принцип реализуется на орбите и в реальном времени.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28.6.1  Принцип составной шкалы и экономика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теории композитных часов системное время вычисляется обратно-дисперсионным взвешиванием всех бортовых стандартов: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σ_ens²(τ) = frac1dfracN_термσ_CSAC²(τ) + dfracN_якорσ_Rb²(τ)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N_терм=300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CSAC и </w:t>
      </w:r>
      <w:r>
        <w:rPr>
          <w:rFonts w:ascii="Courier New" w:hAnsi="Courier New"/>
          <w:b w:val="0"/>
          <w:i w:val="0"/>
          <w:color w:val="000000"/>
          <w:sz w:val="28"/>
        </w:rPr>
        <w:t>N_якор=15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space-Rb системная шкала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σ_y(1 с) ≈ 1,3 × 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лучше одиночного space-Rb (5 × 10⁻¹²), хотя дорогой стандарт стоит лишь на 15 якорях. CSAC-терминалу достаточно удерживать шкалу между ISL-обновлениями (~10 с), а долговременную стабильность задаёт ансамбль якорей. При относительной стоимости space-Rb ≈ 10× CSAC стоимость часового сегмента снижается с 3000 ед. (space-Rb на всех 300 КА) до </w:t>
      </w:r>
      <w:r>
        <w:rPr>
          <w:rFonts w:ascii="Times New Roman" w:hAnsi="Times New Roman"/>
          <w:b/>
          <w:i w:val="0"/>
          <w:color w:val="000000"/>
          <w:sz w:val="28"/>
        </w:rPr>
        <w:t>450 ед.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(300 CSAC + 15 space-Rb) — </w:t>
      </w:r>
      <w:r>
        <w:rPr>
          <w:rFonts w:ascii="Times New Roman" w:hAnsi="Times New Roman"/>
          <w:b/>
          <w:i w:val="0"/>
          <w:color w:val="000000"/>
          <w:sz w:val="28"/>
        </w:rPr>
        <w:t>на ≈ 85 %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сохранении системной шкалы уровня space-Rb.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571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semble_timescale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SHIWA TIME-Space: ансамблевый эталон и экономика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28.6.2  Относительная синхронизация и прослеживаемость к UTC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Метрологически строго разделяются два понятия: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взаимная согласованность бортовых часов между собой. Именно её оптимизирует ансамбль;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 это и есть главное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взаимное согласие часов всех КА напрямую определяет точность псевдодальностей (§12), а не привязка каждого к UTC по отдельности.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Прослеживаемость к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абсолютная привязка шкалы к национальному эталону через якорные узлы (space-Rb с TWSTT к земле + H-мазер Ч1-1008, §8). Ансамбль может быть идеально согласован внутри, но без якоря смещён относительно UTC.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Ансамблевый подход даёт наилучшую относительную согласованность (ключевую для ранжирования) и наследует прослеживаемость к UTC(SU) от якорей, распределяя её по всему созвездию.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28.6.3  Обработка асимметрии ISL — детерминированное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Асимметрия канала «туда/обратно» — доминирующий источник погрешности абсолютного смещения, и статистикой пакетов сама по себе не устраняется (требуется калибровка). </w:t>
      </w:r>
      <w:r>
        <w:rPr>
          <w:rFonts w:ascii="Times New Roman" w:hAnsi="Times New Roman"/>
          <w:b/>
          <w:i w:val="0"/>
          <w:color w:val="000000"/>
          <w:sz w:val="28"/>
        </w:rPr>
        <w:t>Принципиальное отличие космического сегмента: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наземной IP-сети асимметрия случайна (разные маршруты, очереди, длины волокон), а на ISL она </w:t>
      </w:r>
      <w:r>
        <w:rPr>
          <w:rFonts w:ascii="Times New Roman" w:hAnsi="Times New Roman"/>
          <w:b/>
          <w:i w:val="0"/>
          <w:color w:val="000000"/>
          <w:sz w:val="28"/>
        </w:rPr>
        <w:t>детерминирована и вычислима по эфемеридам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(движение КА, релятивистский член §28.3, эффект Саньяка §33.4). SHIWA TIME-Space снимает её двусторонним обменом метками (TWSTT, §8.3): симметричная часть сокращается, остаточная — корректируется аналитически. Поэтому орбитальный ансамбль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лучшей абсолютной прослеживаемости, чем наземные пакетные сети</w:t>
      </w:r>
      <w:r>
        <w:rPr>
          <w:rFonts w:ascii="Times New Roman" w:hAnsi="Times New Roman"/>
          <w:b w:val="0"/>
          <w:i w:val="0"/>
          <w:color w:val="000000"/>
          <w:sz w:val="28"/>
        </w:rPr>
        <w:t>, где асимметрию приходится измерять эмпирически.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28.6.4  Консенсус и взвешивание узлов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Распределённый слой управления (как в наземном SHIWA TIME, §28.4) работает без единого грандмастера: вклад каждого узла в ансамбль определяется метрикой качества (score) по совокупности факторов — стабильность бортовых часов (ADEV), качество ISL-линии (C/N₀, потери), наблюдаемое смещение и его джиттер, тренд дрейфа. Якоря space-Rb получают наибольший вес, CSAC-терминалы — меньший; аномальный (сбойный или подменённый) узел выявляется на фоне согласованного большинства и отбраковывается по весу/кворуму. Переключение источников — с гистерезисом (устойчивость к «флапам»).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масштабирования на 300 КА применяется </w:t>
      </w:r>
      <w:r>
        <w:rPr>
          <w:rFonts w:ascii="Times New Roman" w:hAnsi="Times New Roman"/>
          <w:b/>
          <w:i w:val="0"/>
          <w:color w:val="000000"/>
          <w:sz w:val="28"/>
        </w:rPr>
        <w:t>иерархический gossip-консенсус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(реализован в ПО ShiwaNetwork): </w:t>
      </w:r>
      <w:r>
        <w:rPr>
          <w:rFonts w:ascii="Times New Roman" w:hAnsi="Times New Roman"/>
          <w:b/>
          <w:i w:val="0"/>
          <w:color w:val="000000"/>
          <w:sz w:val="28"/>
        </w:rPr>
        <w:t>Shard (≤ 64 узла) → Region → Global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сложностью O(N·log N) и отбраковкой выбросов по MAD. Первичный источник (PRTC — Primary Reference Time Clock) выбирается по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минимальному clockClass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(якоря space-Rb/H-мазер имеют наивысший приоритет). На орбите естественный шард — плоскость Walker (20 КА), регион — группа плоскостей, что согласуется с топологией ISL (§9).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28.6.5  Холдовер и устойчивость к потере привязки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якорной привязки (глушение/спуфинг GNSS у земли, изоляция сегмента) действуют два независимых эффекта: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 сохраняется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ансамбль продолжает удерживать КА согласованными между собой по ISL; созвездие не «разваливается» по фазе. Это ключевое преимущество перед схемой с единым источником.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Абсолютная привязка к UTC дрейфует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скоростью, заданной стабильностью якорных осцилляторов (ADEV) — физический предел, общий для любой системы (количественно — §8.6: UTC-дрейф &lt; 30 нс за 72 ч на space-Rb-якорях).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Переход в холдовер описывается конечным автоматом (реализован в ПО ShiwaNetwork)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/>
          <w:b/>
          <w:i w:val="0"/>
          <w:color w:val="000000"/>
          <w:sz w:val="28"/>
        </w:rPr>
        <w:t>Locked → HoldoverInSpec → HoldoverOutOfSpec → Freerun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понижением класса часов </w:t>
      </w:r>
      <w:r>
        <w:rPr>
          <w:rFonts w:ascii="Times New Roman" w:hAnsi="Times New Roman"/>
          <w:b/>
          <w:i w:val="0"/>
          <w:color w:val="000000"/>
          <w:sz w:val="28"/>
        </w:rPr>
        <w:t>clockClass 6 → 7 → 140 → 248</w:t>
      </w:r>
      <w:r>
        <w:rPr>
          <w:rFonts w:ascii="Times New Roman" w:hAnsi="Times New Roman"/>
          <w:b w:val="0"/>
          <w:i w:val="0"/>
          <w:color w:val="000000"/>
          <w:sz w:val="28"/>
        </w:rPr>
        <w:t>. Класс транслируется в навигационном сообщении (§7) как флаг качества времени, позволяя потребителю выбирать источник по фактической прослеживаемости.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Таким образом 300-КА ансамбль переживает отказ отдельных узлов и потерю GNSS без разрушения системной шкалы — самовосстанавливающийся орбитальный эталон.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28.6.6  Безопасность, частота и суверенность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ансамблем.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Чтобы сдвинуть системную шкалу, атакующему нужно скомпрометировать многие КА одновременно, а не один источник; служебный ISL-обмен SHIWA TIME-Space защищается криптографией ГОСТ (§16: аутентификация, целостность, защита от повторов), аномалии детектируются консенсусом.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Эталон не только времени, но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Непрерывное сравнение бортовых осцилляторов по ISL даёт частотную стабильность ансамбля — основу для синхронизации частоты в наземных сетях (телеком, энергетика).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Суверенный распределённый эталон.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Орбитальный ансамбль АВРОРА, привязанный к UTC(SU)/H-мазеру Ч1-1008, образует национальную шкалу времени и частоты, устойчивую к подавлению GNSS и независимую от зарубежных систем, — основу суверенной временно́й инфраструктуры (§28.4 доводит её до наземных потребителей через SHIWA TIME-Ground).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28.6.7  Бюджет неопределённости орбитального ансамбля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Природа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Разрешение метки времени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аппаратная (~нс)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высокоразрешающие бортовые метки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Асимметрия ISL (релят./Саньяк/геометрия)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детерминированная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 + коррекция по эфемеридам (§28.3, §33)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Шум/дрейф CSAC-терминала (холдовер)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стохастическая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дисциплинирование по ансамблю каждые ~10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Неопределённость якорей и привязки к UTC(SU)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метрологическая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+ H-мазер Ч1-1008, TWSTT к земле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Остаточная ошибка алгоритма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алгоритмическая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взвешивание, отбраковка по консенсусу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Модель ансамбля — </w:t>
      </w:r>
      <w:r>
        <w:rPr>
          <w:rFonts w:ascii="Courier New" w:hAnsi="Courier New"/>
          <w:b w:val="0"/>
          <w:i w:val="0"/>
          <w:color w:val="7B0000"/>
          <w:sz w:val="22"/>
        </w:rPr>
        <w:t>aurora/pnt/ensemble_timescale.py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ensemble-timescale</w:t>
      </w:r>
      <w:r>
        <w:rPr>
          <w:rFonts w:ascii="Times New Roman" w:hAnsi="Times New Roman"/>
          <w:b w:val="0"/>
          <w:i w:val="0"/>
          <w:color w:val="000000"/>
          <w:sz w:val="28"/>
        </w:rPr>
        <w:t>); количественная деградация при автономии — §8.6.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28.6.8  Алгоритм дисциплинирования и взвешивания (servo)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CSAC-терминал дисциплинируется по ансамблю тем же сервоалгоритмом, что и наземный SHIWA TIME (§28.4), адаптированным к ISL. Цепочка обработки измерения: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Оценка смещения (TWSTT).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Двусторонний обмен метками снимает симметричную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 = tfrac12[(t_2 - t_1) - (t_4 - t_3)] - δ_rel - δ_Sagnac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δ_rel, δ_Sagnac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детерминированные поправки по эфемеридам (§28.3, §33.4).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Отбраковка выбросов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(робастная, не среднее):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принять x_n, если |x_n - med| le k· MAD, k ≈ 3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Сглаживание (EMA):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hatθ_n = α θ_n + (1-α) hatθ_n-1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Оценка тренда дрейфа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МНК-наклон по скользящему окну.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5. Регулятор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(коррекция CSAC) — ПИД/ПИ с anti-windup, опционально линейная регрессия и фильтр Калмана (как в ПО ShiwaNetwork):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u_n = K_p hatθ_n + K_iΣ_j hatθ_j + K_d hatθ, (Δ f/f)|_cmd = -u_n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интегральный член ограничивается (clamp) для устойчивости.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6. Step/Slew.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Большое смещение устраняется скачком (step), малое — плавным сведением (slew, без разрывов шкалы):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|hatθ| &gt; θ_step ⇒ step, иначе slew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Выбор источника (score).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Узел-донор времени выбирается не статической BMCA, а по взвешенной метрике качества: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 = w_1|θ| + w_2σ_θ + w_3 D + w_4σ_D + w_5 L + w_6|dotθ|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задержка ISL, </w:t>
      </w:r>
      <w:r>
        <w:rPr>
          <w:rFonts w:ascii="Courier New" w:hAnsi="Courier New"/>
          <w:b w:val="0"/>
          <w:i w:val="0"/>
          <w:color w:val="000000"/>
          <w:sz w:val="28"/>
        </w:rPr>
        <w:t>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джиттеры, </w:t>
      </w:r>
      <w:r>
        <w:rPr>
          <w:rFonts w:ascii="Courier New" w:hAnsi="Courier New"/>
          <w:b w:val="0"/>
          <w:i w:val="0"/>
          <w:color w:val="000000"/>
          <w:sz w:val="28"/>
        </w:rPr>
        <w:t>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потери, </w:t>
      </w:r>
      <w:r>
        <w:rPr>
          <w:rFonts w:ascii="Courier New" w:hAnsi="Courier New"/>
          <w:b w:val="0"/>
          <w:i w:val="0"/>
          <w:color w:val="000000"/>
          <w:sz w:val="28"/>
        </w:rPr>
        <w:t>dotθ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тренд дрейфа; веса </w:t>
      </w:r>
      <w:r>
        <w:rPr>
          <w:rFonts w:ascii="Courier New" w:hAnsi="Courier New"/>
          <w:b w:val="0"/>
          <w:i w:val="0"/>
          <w:color w:val="000000"/>
          <w:sz w:val="28"/>
        </w:rPr>
        <w:t>w_i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нормированы. Якоря space-Rb получают минимальный </w:t>
      </w:r>
      <w:r>
        <w:rPr>
          <w:rFonts w:ascii="Courier New" w:hAnsi="Courier New"/>
          <w:b w:val="0"/>
          <w:i w:val="0"/>
          <w:color w:val="000000"/>
          <w:sz w:val="28"/>
        </w:rPr>
        <w:t>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(наивысший приоритет). Переключение — с </w:t>
      </w:r>
      <w:r>
        <w:rPr>
          <w:rFonts w:ascii="Times New Roman" w:hAnsi="Times New Roman"/>
          <w:b/>
          <w:i w:val="0"/>
          <w:color w:val="000000"/>
          <w:sz w:val="28"/>
        </w:rPr>
        <w:t>гистерезисом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смена источника лишь при </w:t>
      </w:r>
      <w:r>
        <w:rPr>
          <w:rFonts w:ascii="Courier New" w:hAnsi="Courier New"/>
          <w:b w:val="0"/>
          <w:i w:val="0"/>
          <w:color w:val="000000"/>
          <w:sz w:val="28"/>
        </w:rPr>
        <w:t>S_нов &lt; S_тек - 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удержанном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окон подряд (защита от «флапов»).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Профили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аналогии с наземными A/B/C, §28.4): для ISL — узкое окно и высокий темп (детерминированный канал, малый джиттер) → быстрое дисциплинирование между обновлениями ~10 с; коэффициенты сервопетли подбираются под стабильность CSAC и темп TWSTT.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28.7  Уникальность SHIWA TIME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SHIWA TIME (ШИВА НЕТВОРК) — не ещё одна реализация PTP, а самостоятельный класс технологии синхронизации с рядом отличий от известных протоколов: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Свойство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NTP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PTP (IEEE 1588)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White Rabbit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клиент-сервер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грандмастер–slave (BMCA)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мастер–slave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P2P-ансамбль, без грандмастера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Спец. оборудование сети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BC/TC-коммутаторы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(SyncE + спец. узлы)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нет (аппаратные метки NIC)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Симметрия тракта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предполагается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предполагается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калибруется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 требуется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(«счастливый пакет» / TWSTT)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Единая точка отказа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(сервер)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(грандмастер)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(мастер)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нет (самовосстановление ансамбля)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эталон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(составная шкала, §28.6)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сегмент (ISL)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(SHIWA TIME-Space)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Эволюция метрологии ПО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(обновление алгоритмов по всему парку)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Ключевые дифференциаторы: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Ансамбль без грандмастера.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Согласованная шкала строится совместно множеством узлов; отказ узла или GNSS не разрушает синхронизацию (в отличие от единого грандмастера PTP/NTP).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Толерантность к асимметрии.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«Счастливый пакет» (минимум односторонней задержки) на земле и TWSTT + детерминированная коррекция на ISL снимают доминирующий источник погрешности, не требуя симметрии тракта — этого нет в классическом PTP.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эталон времени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Технология строит составной эталон (как вычисляется UTC, но в реальном времени на сети/группировке, §28.6) — самостоятельная функция, недоступная PTP/NTP/White Rabbit.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Программно-эволюционируемая метрология.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Алгоритмы оценки неопределённости, фильтрации асимметрии и взвешивания узлов улучшаются обновлением ПО по всему парку — физический атомный эталон так не модернизируешь. Это уникальное свойство программной природы SHIWA TIME.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Единый протокол для асимметричных сред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наземные IP-сети (Ground) и межспутниковые линии (Space) с общим ядром ансамбля (§28.5).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консенсусом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подмену шкалы нужно навязать многим узлам, а не одному; служебный обмен защищён криптографией ГОСТ (§16).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Суверенность и отечественная база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действующий стек ШИВА НЕТВОРК (демон ShiwaTime, аппаратура Open TimeCard класса IEEE P3335, стандарт SA5x), независимый от зарубежных систем; основа национальной инфраструктуры времени, устойчивой к подавлению GNSS.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это означает, что синхронизация — не пассивный приём времени, а </w:t>
      </w:r>
      <w:r>
        <w:rPr>
          <w:rFonts w:ascii="Times New Roman" w:hAnsi="Times New Roman"/>
          <w:b/>
          <w:i w:val="0"/>
          <w:color w:val="000000"/>
          <w:sz w:val="28"/>
        </w:rPr>
        <w:t>активная распределённая технология</w:t>
      </w:r>
      <w:r>
        <w:rPr>
          <w:rFonts w:ascii="Times New Roman" w:hAnsi="Times New Roman"/>
          <w:b w:val="0"/>
          <w:i w:val="0"/>
          <w:color w:val="000000"/>
          <w:sz w:val="28"/>
        </w:rPr>
        <w:t>, дающая суверенный эталон на группировке (§28.6) и масштабную защищённую раздачу на земле (§28.4) поверх одного протокольного ядра.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29.3  Математическая модель и программный комплекс моделирования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расчётные результаты настоящего ТП получены **разработанной в рамках НИР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математической моделью и программным комплексом моделирования** низкоорбитальной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группировки АВРОРА (</w:t>
      </w:r>
      <w:r>
        <w:rPr>
          <w:rFonts w:ascii="Courier New" w:hAnsi="Courier New"/>
          <w:b w:val="0"/>
          <w:i w:val="0"/>
          <w:color w:val="7B0000"/>
          <w:sz w:val="22"/>
        </w:rPr>
        <w:t>aurora.pnt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/>
          <w:b/>
          <w:i w:val="0"/>
          <w:color w:val="000000"/>
          <w:sz w:val="28"/>
        </w:rPr>
        <w:t>90 модулей</w:t>
      </w:r>
      <w:r>
        <w:rPr>
          <w:rFonts w:ascii="Times New Roman" w:hAnsi="Times New Roman"/>
          <w:b w:val="0"/>
          <w:i w:val="0"/>
          <w:color w:val="000000"/>
          <w:sz w:val="28"/>
        </w:rPr>
        <w:t>, единый интерфейс командной строки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aurora-pnt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/>
          <w:b/>
          <w:i w:val="0"/>
          <w:color w:val="000000"/>
          <w:sz w:val="28"/>
        </w:rPr>
        <w:t>66 команд</w:t>
      </w:r>
      <w:r>
        <w:rPr>
          <w:rFonts w:ascii="Times New Roman" w:hAnsi="Times New Roman"/>
          <w:b w:val="0"/>
          <w:i w:val="0"/>
          <w:color w:val="000000"/>
          <w:sz w:val="28"/>
        </w:rPr>
        <w:t>). Комплекс охватывает: орбитальную пропагацию (Walker, J2),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геометрию и DOP, бюджеты линий связи и UERE, часовую цепочку и ансамблевую шкалу времени,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навигационный сигнал и кодовые последовательности, орбитальное определение, целостность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(RAIM/ARAIM), надёжность и стоимость жизненного цикла (LCC), а также визуализацию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(2D/3D-сцены, анимация облёта, интерактивный Cesium-глобус).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Результаты воспроизводимы: каждый прогон сохраняется в каталоге </w:t>
      </w:r>
      <w:r>
        <w:rPr>
          <w:rFonts w:ascii="Courier New" w:hAnsi="Courier New"/>
          <w:b w:val="0"/>
          <w:i w:val="0"/>
          <w:color w:val="7B0000"/>
          <w:sz w:val="22"/>
        </w:rPr>
        <w:t>results/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/>
          <w:b/>
          <w:i w:val="0"/>
          <w:color w:val="000000"/>
          <w:sz w:val="28"/>
        </w:rPr>
        <w:t>84 набора</w:t>
      </w:r>
      <w:r>
        <w:rPr>
          <w:rFonts w:ascii="Times New Roman" w:hAnsi="Times New Roman"/>
          <w:b w:val="0"/>
          <w:i w:val="0"/>
          <w:color w:val="000000"/>
          <w:sz w:val="28"/>
        </w:rPr>
        <w:t>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покрыт smoke-тестами (</w:t>
      </w:r>
      <w:r>
        <w:rPr>
          <w:rFonts w:ascii="Times New Roman" w:hAnsi="Times New Roman"/>
          <w:b/>
          <w:i w:val="0"/>
          <w:color w:val="000000"/>
          <w:sz w:val="28"/>
        </w:rPr>
        <w:t>154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тест-функции) и линтером сквозной связности (</w:t>
      </w:r>
      <w:r>
        <w:rPr>
          <w:rFonts w:ascii="Courier New" w:hAnsi="Courier New"/>
          <w:b w:val="0"/>
          <w:i w:val="0"/>
          <w:color w:val="7B0000"/>
          <w:sz w:val="22"/>
        </w:rPr>
        <w:t>check_tp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Точностные характеристики прошли внешнюю сверку с натурными LEO-PNT данными (CentiSpace,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§45.3).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Комплекс является инструментом проектирования и обоснования: приведённые величины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выход верифицированных моделей, а не натурные измерения; перевод ключевых характеристик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статус «подтверждено» предусмотрен на демонстраторах Фаз 0–1 (§67.4).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бортовой стандарт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Бортовой стандарт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атомный CSAC</w:t>
      </w:r>
      <w:r>
        <w:rPr>
          <w:rFonts w:ascii="Times New Roman" w:hAnsi="Times New Roman"/>
          <w:b w:val="0"/>
          <w:i w:val="0"/>
          <w:color w:val="000000"/>
          <w:sz w:val="28"/>
        </w:rPr>
        <w:t>: его частота задаётся CPT-резонансом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цезии-133, поэтому радиационный уход внутреннего кварцевого генератора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атомным репером и не определяет долговременную стабильность.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Связывающим радиационным ограничением является TID </w:t>
      </w:r>
      <w:r>
        <w:rPr>
          <w:rFonts w:ascii="Times New Roman" w:hAnsi="Times New Roman"/>
          <w:b/>
          <w:i w:val="0"/>
          <w:color w:val="000000"/>
          <w:sz w:val="28"/>
        </w:rPr>
        <w:t>физического пакета CSAC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(предел 20 крад, удержан экраном 7 мм Al-экв., §32.2), а не дрейф кварца.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иллюстрации — частотный уход </w:t>
      </w:r>
      <w:r>
        <w:rPr>
          <w:rFonts w:ascii="Times New Roman" w:hAnsi="Times New Roman"/>
          <w:b/>
          <w:i w:val="0"/>
          <w:color w:val="000000"/>
          <w:sz w:val="28"/>
        </w:rPr>
        <w:t>недисциплинированного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кварца (SC-cut) под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радиацией, обосновывающий выбор атомного (самокорректирующегося) стандарта: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TID, α_rad ≈ 10⁻¹⁰ /кРад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экране 3 мм и TID = 125 кРад уход достигал бы ≈ 12,5 ppb за 7 лет — в атомном CSAC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этот уход снимается привязкой к CPT-реперу. Та же оценка применима к наземным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кварцевым узлам SHIWA TIME (§28.4), которые радиации не подвержены.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недисциплинированного кварца (обоснование атомного стандарта)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8,6%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8,6%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26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≈ 30 спутников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год (полная группировка ÷ MTBF ≈ 10 лет), начиная с 4-го года миссии. За жизненный цикл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≈ 64 КА за 7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/>
          <w:b/>
          <w:i w:val="0"/>
          <w:color w:val="000000"/>
          <w:sz w:val="28"/>
        </w:rPr>
        <w:t>≈ 302 КА за 15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фактически одно полное обновление группировки.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Стоимость восполнения учтена отдельной статьёй LCC (§51.3): 11,1 млрд ₽ за 7 лет и 51,9 млрд 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15 лет (доминирующая статья на 15-летнем горизонте). Рост ресурса КА (резервирование,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скрининг ЭКБ) — прямой рычаг снижения как числа замен, так и LCC.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Потоковое (Sankey) представление дисперсии UERE и временно́й цепочки синхронизации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наглядно видно доминирование эфемерид/тропосферы в UERE и ISL-шума во временно́м бюджете: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24258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nkey_budget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24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Sankey бюджета UERE и временно́й цепочки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0123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0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~1,3–2,0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(LCC 7–15 лет, §51)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Конкурентоспособный бюджет (LCC ≈ </w:t>
      </w:r>
      <w:r>
        <w:rPr>
          <w:rFonts w:ascii="Courier New" w:hAnsi="Courier New"/>
          <w:b w:val="0"/>
          <w:i w:val="0"/>
          <w:color w:val="000000"/>
          <w:sz w:val="28"/>
        </w:rPr>
        <w:t>1,26 млрд за 7 лет /</w:t>
      </w:r>
      <w:r>
        <w:rPr>
          <w:rFonts w:ascii="Times New Roman" w:hAnsi="Times New Roman"/>
          <w:b w:val="0"/>
          <w:i w:val="0"/>
          <w:color w:val="000000"/>
          <w:sz w:val="28"/>
        </w:rPr>
        <w:t>2,0 млрд за 15 лет с восполнением, vs $10B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7600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На лепестковой диаграмме различаются две оси точности: «</w:t>
      </w:r>
      <w:r>
        <w:rPr>
          <w:rFonts w:ascii="Times New Roman" w:hAnsi="Times New Roman"/>
          <w:b/>
          <w:i/>
          <w:color w:val="555555"/>
          <w:sz w:val="28"/>
        </w:rPr>
        <w:t>Точность дальности (1/UERE)</w:t>
      </w:r>
      <w:r>
        <w:rPr>
          <w:rFonts w:ascii="Times New Roman" w:hAnsi="Times New Roman"/>
          <w:b w:val="0"/>
          <w:i/>
          <w:color w:val="555555"/>
          <w:sz w:val="28"/>
        </w:rPr>
        <w:t>» —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одной псевдодальности, где АВРОРА (0,7 м) уступает GPS/Galileo и сопоставима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ГЛОНАСС; и «</w:t>
      </w:r>
      <w:r>
        <w:rPr>
          <w:rFonts w:ascii="Times New Roman" w:hAnsi="Times New Roman"/>
          <w:b/>
          <w:i/>
          <w:color w:val="555555"/>
          <w:sz w:val="28"/>
        </w:rPr>
        <w:t>Точность позиц. (CEP, комбин.)</w:t>
      </w:r>
      <w:r>
        <w:rPr>
          <w:rFonts w:ascii="Times New Roman" w:hAnsi="Times New Roman"/>
          <w:b w:val="0"/>
          <w:i/>
          <w:color w:val="555555"/>
          <w:sz w:val="28"/>
        </w:rPr>
        <w:t>» — итоговая горизонтальная точность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пользователя в рабочем (комбинированном с ГЛОНАСС) режиме, где АВРОРА (CEP ≈ 1 м, §8.6)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находится в числе лучших за счёт геометрии. Преимущество системы — не точность одной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дальности, а геометрия комбинированного режима, скорость PPP-сходимости, Арктика и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помехозащита (§37.2).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41.4  Китайские LEO-PNT инициативы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Помимо штатной MEO-системы BeiDou-3, в КНР параллельно развивается несколько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низкоорбитальных группировок, способных нести функцию навигации,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синхронизации. Их следует учитывать как технологический ориентир и потенциальную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конкурентную среду. Сведения ниже приведены </w:t>
      </w:r>
      <w:r>
        <w:rPr>
          <w:rFonts w:ascii="Times New Roman" w:hAnsi="Times New Roman"/>
          <w:b/>
          <w:i w:val="0"/>
          <w:color w:val="000000"/>
          <w:sz w:val="28"/>
        </w:rPr>
        <w:t>по открытым публикациям, статус на 2026 год</w:t>
      </w:r>
      <w:r>
        <w:rPr>
          <w:rFonts w:ascii="Times New Roman" w:hAnsi="Times New Roman"/>
          <w:b w:val="0"/>
          <w:i w:val="0"/>
          <w:color w:val="000000"/>
          <w:sz w:val="28"/>
        </w:rPr>
        <w:t>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точные тактико-технические характеристики у операторов закрыты, поэтому значения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носят ориентировочный характер.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Оператор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 на орбите / план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Назначение, PNT-роль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CentiSpace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(未来导航)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Beijing Future Navigation + ЦЭТК-29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975 км, 55°/30°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неск. эксперим. КА (с 2018) / ≈ 160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Целевое навигационное усиление — прямой аналог концепции АВРОРА.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Цель: точность &lt; 10 см, сходимость PPP ≈ 1 мин. Применяется методика CCST-подавления самопомех (одновременный приём сигналов GNSS и передача усиливающего сигнала в той же полосе).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Geespace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(GEESATCOM)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Geely / Geespace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км, 50°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(Фаза I) / 72 → ≈ 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Связь и IoT с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дополнительной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службой высокоточного позиционирования (сантиметровый уровень через наземное усиление) для автономного транспорта.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Qianfan / 千帆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(G60)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SSST / Spacesail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1160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180 (05.2026) / ≈ 14 000–15 000 (2030)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Широкополосный интернет (аналог Starlink); навигация —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вторичная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функция, не основная.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Guowang / 国网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China SatNet (гос.)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500 / 600–1145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неск. десятков / по заявке МСЭ 12 992; цель 400 к 2027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Государственная широкополосная мегагруппировка; PNT —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вторичная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функция.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для АВРОРА.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Прямым функциональным аналогом концепции АВРОРА (выделенная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LEO-система навигационного усиления) среди китайских проектов является только </w:t>
      </w:r>
      <w:r>
        <w:rPr>
          <w:rFonts w:ascii="Times New Roman" w:hAnsi="Times New Roman"/>
          <w:b/>
          <w:i w:val="0"/>
          <w:color w:val="000000"/>
          <w:sz w:val="28"/>
        </w:rPr>
        <w:t>CentiSpace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сопоставимы целевая точность (сантиметры в режиме PPP), быстрая сходимость и принцип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работы в навигационных полосах. Geespace реализует позиционирование как добавочную службу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сети связи; Qianfan и Guowang — широкополосные мегагруппировки, у которых PNT остаётся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потенциальной, технически не подтверждённой функцией. Это подтверждает обоснованность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выбранной для АВРОРА архитектуры специализированной навигационной LEO-группировки, 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попутной нагрузки на сети связи. Ключевые суверенные отличия АВРОРА сохраняются: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75° (Арктика), датум ПЗ-90.11, аутентификация на ГОСТ-криптографии,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российская элементная и наземная база.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hina_leo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Китайские LEO-PNT инициативы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§7.3 техпроекта (TTFF):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8000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45.3  Внешняя валидация по натурным LEO-PNT данным (CENTISPACE)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Чтобы перевести точностные характеристики из категории «расчётная оценка проекта»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категорию «согласуется с независимыми натурными измерениями», предсказания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сопоставлены с **опубликованными (рецензируемыми) результатами действующих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LEO-PNT систем**. Главный референс — китайская система навигационного усиления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CENTISPACE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(Beijing Future Navigation; эксперим. КА на ~975 км с 2018 г.) — наиболее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близкий аналог по орбите и назначению; дополнительно — натурно-модельные исследования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LEO-augmented PPP (LeGNSS) и обзор LEO-PNT.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 методе (важно).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Это </w:t>
      </w:r>
      <w:r>
        <w:rPr>
          <w:rFonts w:ascii="Times New Roman" w:hAnsi="Times New Roman"/>
          <w:b/>
          <w:i w:val="0"/>
          <w:color w:val="000000"/>
          <w:sz w:val="28"/>
        </w:rPr>
        <w:t>не ассимиляция «сырых» наблюдений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(первичных измерений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CENTISPACE в открытом доступе нет), а сравнение предсказаний моделей АВРОРА (§36, §37,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§46, сквозной конвейер </w:t>
      </w:r>
      <w:r>
        <w:rPr>
          <w:rFonts w:ascii="Courier New" w:hAnsi="Courier New"/>
          <w:b w:val="0"/>
          <w:i w:val="0"/>
          <w:color w:val="7B0000"/>
          <w:sz w:val="22"/>
        </w:rPr>
        <w:t>e2e_pipeline.py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 с </w:t>
      </w:r>
      <w:r>
        <w:rPr>
          <w:rFonts w:ascii="Times New Roman" w:hAnsi="Times New Roman"/>
          <w:b/>
          <w:i w:val="0"/>
          <w:color w:val="000000"/>
          <w:sz w:val="28"/>
        </w:rPr>
        <w:t>опубликованными натурными метриками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сопоставимых систем. Совпадение в пределах разброса литературы трактуется как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«подтверждено независимыми данными», систематический оптимизм — помечается явно.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(модель)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Натурно (опубл.)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Вердикт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орбиты,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(§4.2)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~975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Подтверждено (сопоставимо)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сходимости PPP,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(§36)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~1; LeGNSS 1–3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Подтверждено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видимых КА (LEO, ~300 КА)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7–22, ср. 14 (§46)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обзор LEO-PNT 8–20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Подтверждено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Гор. точность CEP95 после сходимости,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21–36 (e2e, PPP)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цель &lt; 10; реал. см–дм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Правдоподобно (консервативно)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Радиальная ошибка POD,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5–19 (§47)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реал. дм-уровень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Оптимистично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(К-2)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одной псевдодальн. (dual),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 (§37.2)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LEO-усиления дм–м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Правдоподобно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Итог: подтверждено 3 / правдоподобно 2 / оптимистично 1.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Ключевое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системы — </w:t>
      </w:r>
      <w:r>
        <w:rPr>
          <w:rFonts w:ascii="Times New Roman" w:hAnsi="Times New Roman"/>
          <w:b/>
          <w:i w:val="0"/>
          <w:color w:val="000000"/>
          <w:sz w:val="28"/>
        </w:rPr>
        <w:t>ускоренная сходимость PPP (1–3 мин)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подтверждается натурными данными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CENTISPACE и LeGNSS (LEO-усиление снижает сходимость с ~30 мин у GNSS до ~1–3 мин);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геометрия (N_vis) и порядок позиционной точности также согласуются, причём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консервативнее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натурной цели CENTISPACE (&lt; 10 см) — модель не завышает. Единственная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систематически оптимистичная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величина — радиальная POD (5 см против натурного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дм-уровня у LEO): это прямо соответствует замечанию К-2 аудита и требует подтверждения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фазовой ISL-дальнометрией на демонстраторах Фаз 0–1.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aurora/pnt/leo_pnt_validation.py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(CLI </w:t>
      </w:r>
      <w:r>
        <w:rPr>
          <w:rFonts w:ascii="Courier New" w:hAnsi="Courier New"/>
          <w:b w:val="0"/>
          <w:i w:val="0"/>
          <w:color w:val="7B0000"/>
          <w:sz w:val="22"/>
        </w:rPr>
        <w:t>leo-pnt-validation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15484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o_pnt_validation_phase4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15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Кросс-валидация АВРОРА с натурными LEO-PNT данными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 натурных данных: CENTISPACE — Remote Sensing/PMC10301026 (2023), GPS Solutions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10.1007/s10291-023-01589-0 (2023), Satellite Navigation s43020-024-00133-w (2024);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LeGNSS — Ge et al., Remote Sensing 10(7):984 (2018) [ист. 39]; обзор — Prol et al.,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IEEE Access 10 (2022) [ист. 38].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(49.159)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underbraceN_repl· C_repl_восполнение отказов (§51.3)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Демонстраторы Ф0–1 (12 × 16U CubeSat + rideshare)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9,1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Восполнение группировки (отказы КА, 7 лет: ≈ 64 КА × 172)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11 065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113 436 млн ₽ ≈ 113,4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1 260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(восполнение ≈ 302 КА = 51,9 млрд)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183 024 млн ₽ ≈ 183,0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2 034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 изготовления 1 КА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(серия, с обучением: ≈100 платформа+ПН+ISL + 5 часы)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105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Удельная LCC на 1 КА (вся программа ÷ 300, 7 лет,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 восполнением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16 205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Важно различать </w:t>
      </w:r>
      <w:r>
        <w:rPr>
          <w:rFonts w:ascii="Times New Roman" w:hAnsi="Times New Roman"/>
          <w:b/>
          <w:i w:val="0"/>
          <w:color w:val="000000"/>
          <w:sz w:val="28"/>
        </w:rPr>
        <w:t>цену изготовления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(серийная, с кривой обучения — </w:t>
      </w:r>
      <w:r>
        <w:rPr>
          <w:rFonts w:ascii="Times New Roman" w:hAnsi="Times New Roman"/>
          <w:b/>
          <w:i w:val="0"/>
          <w:color w:val="000000"/>
          <w:sz w:val="28"/>
        </w:rPr>
        <w:t>≈ 105 млн ₽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что нормально для 140-кг нав-смолсата с атомными часами и ISL) и </w:t>
      </w:r>
      <w:r>
        <w:rPr>
          <w:rFonts w:ascii="Times New Roman" w:hAnsi="Times New Roman"/>
          <w:b/>
          <w:i w:val="0"/>
          <w:color w:val="000000"/>
          <w:sz w:val="28"/>
        </w:rPr>
        <w:t>удельную LCC на 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(378 млн ₽) — последняя включает разработку, запуск, наземный сегмент, </w:t>
      </w:r>
      <w:r>
        <w:rPr>
          <w:rFonts w:ascii="Times New Roman" w:hAnsi="Times New Roman"/>
          <w:b/>
          <w:i w:val="0"/>
          <w:color w:val="000000"/>
          <w:sz w:val="28"/>
        </w:rPr>
        <w:t>восполнение отказов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7 лет эксплуатации, размазанные на 300 аппаратов, и не является ценой постройки одного КА. Для сравнения: программы GPS/Galileo стоят </w:t>
      </w:r>
      <w:r>
        <w:rPr>
          <w:rFonts w:ascii="Courier New" w:hAnsi="Courier New"/>
          <w:b w:val="0"/>
          <w:i w:val="0"/>
          <w:color w:val="000000"/>
          <w:sz w:val="28"/>
        </w:rPr>
        <w:t>10+ млрд — АВРОРА (≈ 113 млрд ₽ ≈</w:t>
      </w:r>
      <w:r>
        <w:rPr>
          <w:rFonts w:ascii="Times New Roman" w:hAnsi="Times New Roman"/>
          <w:b w:val="0"/>
          <w:i w:val="0"/>
          <w:color w:val="000000"/>
          <w:sz w:val="28"/>
        </w:rPr>
        <w:t>1,26 млрд за 7 лет) дешевле на порядок за счёт малых КА, отечественных часов и серийности.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51.3  Восполнение группировки (согласование с надёжностью, §35)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Низкоорбитальная группировка из малых КА по своей природе </w:t>
      </w:r>
      <w:r>
        <w:rPr>
          <w:rFonts w:ascii="Times New Roman" w:hAnsi="Times New Roman"/>
          <w:b/>
          <w:i w:val="0"/>
          <w:color w:val="000000"/>
          <w:sz w:val="28"/>
        </w:rPr>
        <w:t>расходуемая</w:t>
      </w:r>
      <w:r>
        <w:rPr>
          <w:rFonts w:ascii="Times New Roman" w:hAnsi="Times New Roman"/>
          <w:b w:val="0"/>
          <w:i w:val="0"/>
          <w:color w:val="000000"/>
          <w:sz w:val="28"/>
        </w:rPr>
        <w:t>: при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эффективном MTBF КА ≈ 10,1 года (горячее резервирование часов и вычислителя,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R(7 лет) ≈ 50 %, §35.3) полная группировка из 300 КА теряет </w:t>
      </w:r>
      <w:r>
        <w:rPr>
          <w:rFonts w:ascii="Times New Roman" w:hAnsi="Times New Roman"/>
          <w:b/>
          <w:i w:val="0"/>
          <w:color w:val="000000"/>
          <w:sz w:val="28"/>
        </w:rPr>
        <w:t>≈ 30 КА в год</w:t>
      </w:r>
      <w:r>
        <w:rPr>
          <w:rFonts w:ascii="Times New Roman" w:hAnsi="Times New Roman"/>
          <w:b w:val="0"/>
          <w:i w:val="0"/>
          <w:color w:val="000000"/>
          <w:sz w:val="28"/>
        </w:rPr>
        <w:t>, что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требует непрерывного восполнения — как у Starlink/OneWeb. Ожидаемое число замещающих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оценивается как наработка группировки (КА·лет, по графику ввода §30.2), делённая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MTBF: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N_repl(Y) = (∫_0^Y N_акт(t) dt/MTBF_КА), C_repl = N_repl·(C_floor + C_пуск/КА)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Замещающие КА строятся на «полке» кривой обучения (серийный минимум ≈ 82 млн ₽ + часы)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 выводятся по средней пусковой экономике серии (≈ 90 млн ₽/КА) → ≈ </w:t>
      </w:r>
      <w:r>
        <w:rPr>
          <w:rFonts w:ascii="Times New Roman" w:hAnsi="Times New Roman"/>
          <w:b/>
          <w:i w:val="0"/>
          <w:color w:val="000000"/>
          <w:sz w:val="28"/>
        </w:rPr>
        <w:t>172 млн ₽/КА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Окно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Наработка, КА·лет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Замещающих 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Восполнение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в LCC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(развёртывание)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11,1 млрд 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лет (с эксплуатацией FOC)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3 051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51,9 млрд 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(закрытие замечания К-3 аудита).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Восполнение — **доминирующая статья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горизонте 15 лет**: 51,9 млрд ₽ превышают стоимость первичной серии 300 КА (≈ 30 млрд ₽),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поскольку за 15 лет группировка фактически обновляется один раз. OPEX наземного сегмента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(40 $M/год) это </w:t>
      </w:r>
      <w:r>
        <w:rPr>
          <w:rFonts w:ascii="Times New Roman" w:hAnsi="Times New Roman"/>
          <w:b/>
          <w:i w:val="0"/>
          <w:color w:val="000000"/>
          <w:sz w:val="28"/>
        </w:rPr>
        <w:t>не покрывает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восполнение есть производство и выведение, поэтому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вынесено отдельной статьёй. Чувствительность к MTBF высока (см. торнадо §51.2): при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MTBF 7 → 20 лет восполнение на 15 лет меняется 74,8 → 26,2 млрд ₽, а LCC-15 — 206 → 157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Поэтому </w:t>
      </w:r>
      <w:r>
        <w:rPr>
          <w:rFonts w:ascii="Times New Roman" w:hAnsi="Times New Roman"/>
          <w:b/>
          <w:i w:val="0"/>
          <w:color w:val="000000"/>
          <w:sz w:val="28"/>
        </w:rPr>
        <w:t>рост ресурса КА (резервирование, скрининг, ИЭКБ) — прямой рычаг снижения LCC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 не только надёжности. Это устраняет прежнее расхождение между §35.3 (≈ 30 отказов/год)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§51, где восполнение ранее не учитывалось.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Удешевление демонстрационной фазы (Ф0–1).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Демонстраторы Фаз 0–1 (12 КА) строятся не как полноразмерные операционные аппараты, а на </w:t>
      </w:r>
      <w:r>
        <w:rPr>
          <w:rFonts w:ascii="Times New Roman" w:hAnsi="Times New Roman"/>
          <w:b/>
          <w:i w:val="0"/>
          <w:color w:val="000000"/>
          <w:sz w:val="28"/>
        </w:rPr>
        <w:t>дешёвой 16U CubeSat-платформе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(СПУТНИКС/Геоскан, §66) с урезанной полезной нагрузкой (один сигнальный канал, один CSAC) и </w:t>
      </w:r>
      <w:r>
        <w:rPr>
          <w:rFonts w:ascii="Times New Roman" w:hAnsi="Times New Roman"/>
          <w:b/>
          <w:i w:val="0"/>
          <w:color w:val="000000"/>
          <w:sz w:val="28"/>
        </w:rPr>
        <w:t>попутным (rideshare) запуском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≈ 820 млн ₽ против ≈ 2 470 млн ₽, если бы те же 12 аппаратов делались полноразмерными 140-кг КА на крутом участке кривой обучения — </w:t>
      </w:r>
      <w:r>
        <w:rPr>
          <w:rFonts w:ascii="Times New Roman" w:hAnsi="Times New Roman"/>
          <w:b/>
          <w:i w:val="0"/>
          <w:color w:val="000000"/>
          <w:sz w:val="28"/>
        </w:rPr>
        <w:t>в ≈ 3 раза дешевле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(экономия ≈ 1,65 млрд ₽). Это и удешевляет старт, и создаёт </w:t>
      </w:r>
      <w:r>
        <w:rPr>
          <w:rFonts w:ascii="Times New Roman" w:hAnsi="Times New Roman"/>
          <w:b/>
          <w:i w:val="0"/>
          <w:color w:val="000000"/>
          <w:sz w:val="28"/>
        </w:rPr>
        <w:t>дешёвый рубеж лётной проверки концепции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(сигнал, ISL, дисциплина часов) до выделения средств на серию 300 КА (≈ 30 млрд ₽) — снижение программного риска.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11279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1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72000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9600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80000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ансамблевый эталон (SHIWA TIME-Space)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ensemble_timescale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2130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7083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7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3307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3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ПРОМЫШЛЕННАЯ КООПЕРАЦИЯ И ИМПОРТОЗАМЕЩЕНИЕ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Принцип кооперации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Суверенный характер АВРОРА требует построения системы на </w:t>
      </w:r>
      <w:r>
        <w:rPr>
          <w:rFonts w:ascii="Times New Roman" w:hAnsi="Times New Roman"/>
          <w:b/>
          <w:i w:val="0"/>
          <w:color w:val="000000"/>
          <w:sz w:val="28"/>
        </w:rPr>
        <w:t>российской промышленной кооперации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отечественной элементной базе.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малый спутник ~140 кг (§19), не CubeSat</w:t>
      </w:r>
      <w:r>
        <w:rPr>
          <w:rFonts w:ascii="Times New Roman" w:hAnsi="Times New Roman"/>
          <w:b w:val="0"/>
          <w:i w:val="0"/>
          <w:color w:val="000000"/>
          <w:sz w:val="28"/>
        </w:rPr>
        <w:t>: операционный аппарат с навигационной ПН (включая высокомощный Сервис Б, §65), атомными часами, ISL и двигательной установкой не размещается в формате CubeSat (≤16U). Поэтому кооперация разделена на два контура: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Демонстраторы Фаз 0–1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(3–12 КА, §4.3) — могут использовать укрупнённые </w:t>
      </w:r>
      <w:r>
        <w:rPr>
          <w:rFonts w:ascii="Times New Roman" w:hAnsi="Times New Roman"/>
          <w:b/>
          <w:i w:val="0"/>
          <w:color w:val="000000"/>
          <w:sz w:val="28"/>
        </w:rPr>
        <w:t>CubeSat-платформы 16U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российских производителей для дешёвой лётной проверки отдельных элементов (генерация сигнала, ISL-линия, дисциплина бортовых часов);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Операционные КА Фаз 2–4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(140 кг) — требуют малоспутниковой платформы промышленного уровня и навигационной ПН, изготавливаемой предприятиями ракетно-космической отрасли.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Карта кооперации (потребность → исполнитель)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Слой системы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Потенциальный исполнитель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операционного КА (140 кг)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«ИСС» им. Решетнёва; ГК «СПУТНИКС»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головной изготовитель малоспутниковой платформы, серия 300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демонстратора (16U)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 «СПУТНИКС»; ГК «Геоскан»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элементов на укрупнённом CubeSat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и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«Российские космические системы» (РКС)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нав-аппаратура, частотно-временное обеспечение,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атомные часы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«ШИВА НЕТВОРК» (CSAC «КПН», space-Rb Quantum-18)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стандарты частоты (§8)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времени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ОАО «Время-Ч»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 Ч1-1008, групповой эталон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ОКБ «Факел»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ДУ удержания и увода с орбиты (§22, §40)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Средства выведения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«РКЦ "Прогресс"»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носители, попутный/кластерный вывод (§53)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Контейнеры и отделение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«КосмоЛаб» (системы до 500 кг); Aerospace Capital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механическая адаптация и отделение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приёма/обработки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«СКАНЭКС»; собственные станции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приём, обработка, доведение данных (§54)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Компоненты, летная квалификация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НИЯУ МИФИ и вузовские лаборатории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приборы, датчики, импортозамещающая электроника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Государственные корпорации и ключевые партнёры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«Российские космические системы» (РКС)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стратегический партнёр по навигации: бортовая навигационная аппаратура, частотно-временно́е обеспечение и шкала UTC(SU), наземный комплекс управления ГЛОНАСС. Позиционирование АВРОРА как </w:t>
      </w:r>
      <w:r>
        <w:rPr>
          <w:rFonts w:ascii="Times New Roman" w:hAnsi="Times New Roman"/>
          <w:b/>
          <w:i w:val="0"/>
          <w:color w:val="000000"/>
          <w:sz w:val="28"/>
        </w:rPr>
        <w:t>LEO-усиления ГЛОНАСС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напрямую соответствует компетенции РКС; совместный проект РКС и МГТУ им. Н. Э. Баумана (≈100 × CubeSat 6U с навигационными ПН) служит образцом серийной кооперации.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«ИСС» им. академика М. Ф. Решетнёва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изготовитель спутников ГЛОНАСС (ГЛОНАСС-К) и связных КА; естественный головной изготовитель платформы операционного нав-аппарата.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Госкорпорация «Роскосмос»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частотно-орбитальная заявка через ГКРЧ/МСЭ (критично для выделенной L-полосы Сервиса Б, §43, §65), пусковые услуги, общесистемная координация.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ОАО «Время-Ч»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наземный водородный эталон (Ч1-1008), уже заложен в часовую архитектуру (§8).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ОКБ «Факел»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двигательные установки (применяется на ГЛОНАСС и связных 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Привязка к фазам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Кооперация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 (демо)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16U (СПУТНИКС/Геоскан) + урезанная ПН; вывод — РКЦ «Прогресс» (попутный); земля — СКАНЭКС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Демонстрация ISL и LPT; РКС — навигационная ПН; ШИВА НЕТВОРК — часы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90→300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Серийная платформа (ИСС Решетнёва/СПУТНИКС); РКС — нав-ПН/время; Факел — ДУ; РКЦ «Прогресс» — кластерный вывод; КосмоЛаб — отделение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66.5  Импортозамещение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Кооперация полностью отечественная; критические бортовые системы (часы, навигационная ПН, ДУ, вычислители) проходят лётную квалификацию на демонстраторах Фаз 0–1 до серийного применения, что снижает риски крупной группировки и накапливает статистику по российской компонентной базе. Зарубежные изделия в составе АВРОРА не применяются.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66.6  Синергия с системой «Гонец» и программой «Сфера»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Примечание.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Настоящий подраздел — инженерное предложение по кооперации, основанное на открытых данных о системе «Гонец» и программе «Сфера». Он </w:t>
      </w:r>
      <w:r>
        <w:rPr>
          <w:rFonts w:ascii="Times New Roman" w:hAnsi="Times New Roman"/>
          <w:b/>
          <w:i/>
          <w:color w:val="555555"/>
          <w:sz w:val="28"/>
        </w:rPr>
        <w:t>не опирается на закрытые требования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не является согласованным интерфейсом; конкретные параметры подлежат уточнению с операторами.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</w:t>
      </w:r>
      <w:r>
        <w:rPr>
          <w:rFonts w:ascii="Times New Roman" w:hAnsi="Times New Roman"/>
          <w:b/>
          <w:i w:val="0"/>
          <w:color w:val="000000"/>
          <w:sz w:val="28"/>
        </w:rPr>
        <w:t>«Гонец»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(АО «Спутниковая система «Гонец»», Роскосмос) — низкоорбитальная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связи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(персональная связь, сообщения, M2M/IoT). Вектор модернизации по открытым данным: переход на более низкую орбиту (~750 км), увеличение числа КА и глобальность покрытия в рамках многоорбитальной программы </w:t>
      </w:r>
      <w:r>
        <w:rPr>
          <w:rFonts w:ascii="Times New Roman" w:hAnsi="Times New Roman"/>
          <w:b/>
          <w:i w:val="0"/>
          <w:color w:val="000000"/>
          <w:sz w:val="28"/>
        </w:rPr>
        <w:t>«Сфера»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«Гонец» — связной, а не навигационный сервис; именно поэтому он </w:t>
      </w:r>
      <w:r>
        <w:rPr>
          <w:rFonts w:ascii="Times New Roman" w:hAnsi="Times New Roman"/>
          <w:b/>
          <w:i w:val="0"/>
          <w:color w:val="000000"/>
          <w:sz w:val="28"/>
        </w:rPr>
        <w:t>дополняет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АВРОРА, а не конкурирует с ней.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Взаимное дополнение (что даёт каждая сторона):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даёт «Гонцу»/«Сфере»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«Гонец»/«Сфера» даёт АВРОРА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Суверенное PNT и синхронизацию сети (SHIWA TIME, §28) — снижение зависимости борта и наземки от 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Двусторонний канал данных для доставки коррекций (отсутствует у одностороннего нав-сигнала)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время/частоту для связной группировки (распределённый эталон, §28.6)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Доставка SSR/PPP-RTK-поправок (§44), A-GNSS-ассистирования (§27.3), целостности и аутентификации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и аутентификацию времени (ГОСТ-крипто, §16)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Проверенная российская LEO-платформа малого класса (шина Гонец-М1) под нав-ПН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Арктическое покрытие (наклонение 75°) в общую инфраструктуру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Готовый наземный связной комплекс и каналы M2M/IoT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Три модели сотрудничества: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Hosted payload (общая платформа).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Шина перспективного аппарата «Гонец»/«Сфера» (~280 кг) перекрывает массу АВРОРА (~140 кг, §19) и может нести навигационную ПН как попутную/совмещённую. Эффект: ускорение разработки борта, общая платформенная кооперация.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Гибрид данных (связь «Гонца» как backhaul для PNT).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Навигационный сигнал АВРОРА односторонний; PPP-RTK и время требуют двустороннего канала. «Гонец» доставляет коррекции/время/ассистирование пользователям, АВРОРА — суверенное PNT и синхронизацию сети «Гонца». Конкуренты (Xona) строят канал данных с нуля — здесь он уже есть.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Компонент «Сферы».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позиционируется как </w:t>
      </w:r>
      <w:r>
        <w:rPr>
          <w:rFonts w:ascii="Times New Roman" w:hAnsi="Times New Roman"/>
          <w:b/>
          <w:i w:val="0"/>
          <w:color w:val="000000"/>
          <w:sz w:val="28"/>
        </w:rPr>
        <w:t>навигационно-временно́й столп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многоорбитальной программы наряду со связным «Гонцом» и ДЗЗ: общий наземный сегмент, средства выведения, возможный общий ISL-бэкбон (перекрёстная поддержка, перенос времени между связной и навигационной группировками).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Привязка к фазам: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 синергии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 (демо)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Гибрид данных на наземном стенде: доставка тестовых SSR/времени через каналы «Гонца»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Hosted-payload-демонстратор нав-ПН на платформе «Гонец»/«Сфера»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Ф3–Ф4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Полноценный компонент «Сферы»: общий наземный сегмент, кооперация по выведению, ISL-перекрёст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Ограничения (честно):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орбиты различаются (~750–1500 км у «Гонца» против 1000 км у АВРОРА) — совместное использование плоскостей ограничено; синергия достигается на уровне платформы, данных и программы, а не общей орбиты. Параметры интерфейсов требуют согласования с оператором и закрепления в ОКР-документах (ICD).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space-Rb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Quantum-18 — собственная разработка ООО «ШИВА НЕТВОРК» в параллельном проекте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(стандарт частоты); терминальный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CSAC — ведётся поиск партнёра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для создания/локализации. Вне периметра настоящего ТП: ТТХ зафиксированы (§8, Таблица 19), квалификация — на демонстраторах Фаз 0–1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68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47) </w:t>
      </w:r>
      <w:r>
        <w:rPr>
          <w:rFonts w:ascii="Times New Roman" w:hAnsi="Times New Roman"/>
          <w:b w:val="0"/>
          <w:i w:val="0"/>
          <w:color w:val="000000"/>
          <w:sz w:val="28"/>
        </w:rPr>
        <w:t>Performance Evaluation of CENTISPACE Navigation Augmentation Experiment Satellites. *Remote Sensing* (2023). PMC10301026.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48) </w:t>
      </w:r>
      <w:r>
        <w:rPr>
          <w:rFonts w:ascii="Times New Roman" w:hAnsi="Times New Roman"/>
          <w:b w:val="0"/>
          <w:i w:val="0"/>
          <w:color w:val="000000"/>
          <w:sz w:val="28"/>
        </w:rPr>
        <w:t>LEO augmented precise point positioning using real observations from two CENTISPACE™ experimental satellites. *GPS Solutions*, 27 (2023). DOI 10.1007/s10291-023-01589-0.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49) </w:t>
      </w:r>
      <w:r>
        <w:rPr>
          <w:rFonts w:ascii="Times New Roman" w:hAnsi="Times New Roman"/>
          <w:b w:val="0"/>
          <w:i w:val="0"/>
          <w:color w:val="000000"/>
          <w:sz w:val="28"/>
        </w:rPr>
        <w:t>Demand and key technology for a LEO constellation as augmentation of satellite navigation systems. *Satellite Navigation*, 5 (2024). DOI 10.1186/s43020-024-00133-w.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НИР «Сияние»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(основание — приказ ООО «ШИВА НЕТВОРК» № 11/2026); система </w:t>
      </w:r>
      <w:r>
        <w:rPr>
          <w:rFonts w:ascii="Times New Roman" w:hAnsi="Times New Roman"/>
          <w:b/>
          <w:i w:val="0"/>
          <w:color w:val="000000"/>
          <w:sz w:val="28"/>
        </w:rPr>
        <w:t>АВРОРА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Relationship Id="rId193" Type="http://schemas.openxmlformats.org/officeDocument/2006/relationships/image" Target="media/image184.png"/><Relationship Id="rId194" Type="http://schemas.openxmlformats.org/officeDocument/2006/relationships/image" Target="media/image185.png"/><Relationship Id="rId195" Type="http://schemas.openxmlformats.org/officeDocument/2006/relationships/image" Target="media/image186.png"/><Relationship Id="rId196" Type="http://schemas.openxmlformats.org/officeDocument/2006/relationships/image" Target="media/image187.png"/><Relationship Id="rId197" Type="http://schemas.openxmlformats.org/officeDocument/2006/relationships/image" Target="media/image188.png"/><Relationship Id="rId198" Type="http://schemas.openxmlformats.org/officeDocument/2006/relationships/image" Target="media/image189.png"/><Relationship Id="rId199" Type="http://schemas.openxmlformats.org/officeDocument/2006/relationships/image" Target="media/image190.png"/><Relationship Id="rId200" Type="http://schemas.openxmlformats.org/officeDocument/2006/relationships/image" Target="media/image191.png"/><Relationship Id="rId201" Type="http://schemas.openxmlformats.org/officeDocument/2006/relationships/image" Target="media/image19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