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Task 1 — Baseline Chip Design: Report Section</w:t>
      </w:r>
    </w:p>
    <w:p>
      <w:pPr>
        <w:pStyle w:val="Heading1"/>
        <w:spacing w:after="160" w:before="300"/>
      </w:pPr>
      <w:r>
        <w:t xml:space="preserve">1. Chip Footprint</w:t>
      </w:r>
    </w:p>
    <w:p>
      <w:pPr>
        <w:spacing w:after="160"/>
      </w:pPr>
      <w:r>
        <w:t xml:space="preserve">The chip footprint defines the bounded region every component must fit inside — it is a layout canvas, not a claim about real fabricated chip dimensions. We used two different footprints intentionally: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shd w:fill="D9E2F3" w:val="clear"/>
          </w:tcPr>
          <w:p>
            <w:r>
              <w:rPr>
                <w:b/>
                <w:bCs/>
              </w:rPr>
              <w:t xml:space="preserve">Topology</w:t>
            </w:r>
          </w:p>
        </w:tc>
        <w:tc>
          <w:tcPr>
            <w:tcW w:type="dxa" w:w="2000"/>
            <w:shd w:fill="D9E2F3" w:val="clear"/>
          </w:tcPr>
          <w:p>
            <w:r>
              <w:rPr>
                <w:b/>
                <w:bCs/>
              </w:rPr>
              <w:t xml:space="preserve">Footprint</w:t>
            </w:r>
          </w:p>
        </w:tc>
        <w:tc>
          <w:tcPr>
            <w:tcW w:type="dxa" w:w="4800"/>
            <w:shd w:fill="D9E2F3" w:val="clear"/>
          </w:tcPr>
          <w:p>
            <w:r>
              <w:rPr>
                <w:b/>
                <w:bCs/>
              </w:rPr>
              <w:t xml:space="preserve">Reasoning</w:t>
            </w:r>
          </w:p>
        </w:tc>
      </w:tr>
      <w:tr>
        <w:tc>
          <w:tcPr>
            <w:tcW w:type="dxa" w:w="2200"/>
          </w:tcPr>
          <w:p>
            <w:r>
              <w:rPr>
                <w:b w:val="false"/>
                <w:bCs w:val="false"/>
              </w:rPr>
              <w:t xml:space="preserve">Linear chain</w:t>
            </w:r>
          </w:p>
        </w:tc>
        <w:tc>
          <w:tcPr>
            <w:tcW w:type="dxa" w:w="2000"/>
          </w:tcPr>
          <w:p>
            <w:r>
              <w:rPr>
                <w:b w:val="false"/>
                <w:bCs w:val="false"/>
              </w:rPr>
              <w:t xml:space="preserve">12mm × 6mm</w:t>
            </w:r>
          </w:p>
        </w:tc>
        <w:tc>
          <w:tcPr>
            <w:tcW w:type="dxa" w:w="4800"/>
          </w:tcPr>
          <w:p>
            <w:r>
              <w:rPr>
                <w:b w:val="false"/>
                <w:bCs w:val="false"/>
              </w:rPr>
              <w:t xml:space="preserve">Qubits lie along a single horizontal line — a wide, short rectangle wastes no area</w:t>
            </w:r>
          </w:p>
        </w:tc>
      </w:tr>
      <w:tr>
        <w:tc>
          <w:tcPr>
            <w:tcW w:type="dxa" w:w="2200"/>
          </w:tcPr>
          <w:p>
            <w:r>
              <w:rPr>
                <w:b w:val="false"/>
                <w:bCs w:val="false"/>
              </w:rPr>
              <w:t xml:space="preserve">Star</w:t>
            </w:r>
          </w:p>
        </w:tc>
        <w:tc>
          <w:tcPr>
            <w:tcW w:type="dxa" w:w="2000"/>
          </w:tcPr>
          <w:p>
            <w:r>
              <w:rPr>
                <w:b w:val="false"/>
                <w:bCs w:val="false"/>
              </w:rPr>
              <w:t xml:space="preserve">10mm × 10mm</w:t>
            </w:r>
          </w:p>
        </w:tc>
        <w:tc>
          <w:tcPr>
            <w:tcW w:type="dxa" w:w="4800"/>
          </w:tcPr>
          <w:p>
            <w:r>
              <w:rPr>
                <w:b w:val="false"/>
                <w:bCs w:val="false"/>
              </w:rPr>
              <w:t xml:space="preserve">Qubits radiate outward in all 4 directions from a center — needs equal clearance on every side, so a square fits naturally</w:t>
            </w:r>
          </w:p>
        </w:tc>
      </w:tr>
    </w:tbl>
    <w:p>
      <w:pPr>
        <w:spacing w:after="200" w:before="160"/>
      </w:pPr>
      <w:r>
        <w:rPr>
          <w:b/>
          <w:bCs/>
        </w:rPr>
        <w:t xml:space="preserve">The footprint is a design decision matched to the topology's geometry, not a fixed physical constant.</w:t>
      </w:r>
      <w:r>
        <w:t xml:space="preserve"> It becomes a real constraint the moment we check edge clearance, routing paths, and keep-out zones against it.</w:t>
      </w:r>
    </w:p>
    <w:p>
      <w:pPr>
        <w:pStyle w:val="Heading1"/>
        <w:spacing w:after="160" w:before="300"/>
      </w:pPr>
      <w:r>
        <w:t xml:space="preserve">2. Minimum Qubit-to-Qubit Spacing — Clearing Up the Confusion</w:t>
      </w:r>
    </w:p>
    <w:p>
      <w:pPr>
        <w:spacing w:after="160"/>
      </w:pPr>
      <w:r>
        <w:t xml:space="preserve">There are two different things here, and it is worth stating them separately:</w:t>
      </w:r>
    </w:p>
    <w:p>
      <w:pPr>
        <w:pStyle w:val="ListParagraph"/>
        <w:numPr>
          <w:ilvl w:val="0"/>
          <w:numId w:val="1"/>
        </w:numPr>
        <w:spacing w:after="100"/>
      </w:pPr>
      <w:r>
        <w:rPr>
          <w:b/>
          <w:bCs/>
        </w:rPr>
        <w:t xml:space="preserve">Implementation parameter: </w:t>
      </w:r>
      <w:r>
        <w:t xml:space="preserve">our baseline places qubits at a </w:t>
      </w:r>
      <w:r>
        <w:rPr>
          <w:b/>
          <w:bCs/>
        </w:rPr>
        <w:t xml:space="preserve">2.5mm pitch</w:t>
      </w:r>
      <w:r>
        <w:t xml:space="preserve"> (chain) / </w:t>
      </w:r>
      <w:r>
        <w:rPr>
          <w:b/>
          <w:bCs/>
        </w:rPr>
        <w:t xml:space="preserve">2.5mm radius</w:t>
      </w:r>
      <w:r>
        <w:t xml:space="preserve"> (star) — a specific design choice, and the variable we later sweep from 1.5mm to 3.5mm.</w:t>
      </w:r>
    </w:p>
    <w:p>
      <w:pPr>
        <w:pStyle w:val="ListParagraph"/>
        <w:numPr>
          <w:ilvl w:val="0"/>
          <w:numId w:val="1"/>
        </w:numPr>
        <w:spacing w:after="100"/>
      </w:pPr>
      <w:r>
        <w:rPr>
          <w:b/>
          <w:bCs/>
        </w:rPr>
        <w:t xml:space="preserve">Design rule (DRC threshold): </w:t>
      </w:r>
      <w:r>
        <w:t xml:space="preserve">the minimum </w:t>
      </w:r>
      <w:r>
        <w:rPr>
          <w:i/>
          <w:iCs/>
        </w:rPr>
        <w:t xml:space="preserve">allowed</w:t>
      </w:r>
      <w:r>
        <w:t xml:space="preserve"> edge-to-edge gap is </w:t>
      </w:r>
      <w:r>
        <w:rPr>
          <w:b/>
          <w:bCs/>
        </w:rPr>
        <w:t xml:space="preserve">0.3mm</w:t>
      </w:r>
      <w:r>
        <w:t xml:space="preserve"> — not 3mm. This is the rule any candidate design must satisfy, independent of what pitch we happen to pick.</w:t>
      </w:r>
    </w:p>
    <w:p>
      <w:pPr>
        <w:spacing w:after="160"/>
      </w:pPr>
      <w:r>
        <w:t xml:space="preserve">The distinction matters because pitch (center-to-center) and gap (edge-to-edge) are not the same number — pocket size eats into the difference. At our 2.5mm baseline pitch, actual measured edge-to-edge gaps are:</w:t>
      </w:r>
    </w:p>
    <w:p>
      <w:pPr>
        <w:pStyle w:val="ListParagraph"/>
        <w:numPr>
          <w:ilvl w:val="0"/>
          <w:numId w:val="1"/>
        </w:numPr>
        <w:spacing w:after="100"/>
      </w:pPr>
      <w:r>
        <w:t xml:space="preserve">Chain: nearest-neighbor gap = </w:t>
      </w:r>
      <w:r>
        <w:rPr>
          <w:b/>
          <w:bCs/>
        </w:rPr>
        <w:t xml:space="preserve">1.65mm</w:t>
      </w:r>
      <w:r>
        <w:t xml:space="preserve"> (comfortably above the 0.3mm rule)</w:t>
      </w:r>
    </w:p>
    <w:p>
      <w:pPr>
        <w:pStyle w:val="ListParagraph"/>
        <w:numPr>
          <w:ilvl w:val="0"/>
          <w:numId w:val="1"/>
        </w:numPr>
        <w:spacing w:after="100"/>
      </w:pPr>
      <w:r>
        <w:t xml:space="preserve">Star: hub-to-spoke gap = </w:t>
      </w:r>
      <w:r>
        <w:rPr>
          <w:b/>
          <w:bCs/>
        </w:rPr>
        <w:t xml:space="preserve">1.447mm</w:t>
      </w:r>
      <w:r>
        <w:t xml:space="preserve">, spoke-to-spoke gap ranges </w:t>
      </w:r>
      <w:r>
        <w:rPr>
          <w:b/>
          <w:bCs/>
        </w:rPr>
        <w:t xml:space="preserve">2.686mm–3.943mm</w:t>
      </w:r>
    </w:p>
    <w:p>
      <w:pPr>
        <w:spacing w:after="160"/>
      </w:pPr>
      <w:r>
        <w:t xml:space="preserve">The baseline passes the rule with margin — which is also why the 1.5–3.5mm sweep range was safe to explore without violating DRC (spacing only becomes a real problem below approximately 1.0–1.2mm pitch).</w:t>
      </w:r>
    </w:p>
    <w:p>
      <w:pPr>
        <w:pStyle w:val="Heading1"/>
        <w:spacing w:after="160" w:before="300"/>
      </w:pPr>
      <w:r>
        <w:t xml:space="preserve">3. CPW Trace Width / Gap</w:t>
      </w:r>
    </w:p>
    <w:p>
      <w:pPr>
        <w:spacing w:after="160"/>
      </w:pPr>
      <w:r>
        <w:t xml:space="preserve">We used Qiskit Metal's built-in defaults: </w:t>
      </w:r>
      <w:r>
        <w:rPr>
          <w:b/>
          <w:bCs/>
        </w:rPr>
        <w:t xml:space="preserve">10µm trace width, 6µm gap</w:t>
      </w:r>
      <w:r>
        <w:t xml:space="preserve">. These defaults are not arbitrary — they reflect typical dimensions used in real superconducting device literature for 50Ω impedance-matched coplanar waveguides at qubit operating frequencies (~4–6 GHz). Rather than guessing our own numbers, we deferred to the tool's built-in convention as our baseline, and flagged that trace geometry becomes a live variable if EM/impedance analysis (Task 4) suggests it needs tuning.</w:t>
      </w:r>
    </w:p>
    <w:p>
      <w:pPr>
        <w:spacing w:after="160"/>
      </w:pPr>
      <w:r>
        <w:rPr>
          <w:i/>
          <w:iCs/>
        </w:rPr>
        <w:t xml:space="preserve">Note: this section covers the straight-line CPW geometry only. Corner geometry (fillet) is a related but separate property, addressed in Section 7.</w:t>
      </w:r>
    </w:p>
    <w:p>
      <w:pPr>
        <w:pStyle w:val="Heading1"/>
        <w:spacing w:after="160" w:before="300"/>
      </w:pPr>
      <w:r>
        <w:t xml:space="preserve">4. Keep-Out Zones Near Chip Edges</w:t>
      </w:r>
    </w:p>
    <w:p>
      <w:pPr>
        <w:spacing w:after="160"/>
      </w:pPr>
      <w:r>
        <w:t xml:space="preserve">We defined a self-imposed rule: no qubit may sit within </w:t>
      </w:r>
      <w:r>
        <w:rPr>
          <w:b/>
          <w:bCs/>
        </w:rPr>
        <w:t xml:space="preserve">0.5mm</w:t>
      </w:r>
      <w:r>
        <w:t xml:space="preserve"> of the chip boundary. This mirrors a real fabrication concern — chips are diced from a larger wafer, and the outermost strip of any chip is unreliable or damaged by the dicing process, so nothing functional should be placed there. Visually, this is the dashed rectangle inset from the chip edge in every render we have produced — Qiskit Metal draws it automatically based on the chip's defined size, and our DRC checker verifies every qubit respects it independently (both baselines passed at the 0.5mm margin).</w:t>
      </w:r>
    </w:p>
    <w:p>
      <w:pPr>
        <w:pStyle w:val="Heading1"/>
        <w:spacing w:after="160" w:before="300"/>
      </w:pPr>
      <w:r>
        <w:t xml:space="preserve">5. Qubit Geometry</w:t>
      </w:r>
    </w:p>
    <w:p>
      <w:pPr>
        <w:spacing w:after="160"/>
      </w:pPr>
      <w:r>
        <w:t xml:space="preserve">Our baseline transmon uses:</w:t>
      </w:r>
    </w:p>
    <w:p>
      <w:pPr>
        <w:pStyle w:val="ListParagraph"/>
        <w:numPr>
          <w:ilvl w:val="0"/>
          <w:numId w:val="1"/>
        </w:numPr>
        <w:spacing w:after="100"/>
      </w:pPr>
      <w:r>
        <w:t xml:space="preserve">pad_width = 425µm (0.425mm)</w:t>
      </w:r>
    </w:p>
    <w:p>
      <w:pPr>
        <w:pStyle w:val="ListParagraph"/>
        <w:numPr>
          <w:ilvl w:val="0"/>
          <w:numId w:val="1"/>
        </w:numPr>
        <w:spacing w:after="100"/>
      </w:pPr>
      <w:r>
        <w:t xml:space="preserve">pocket_height = 650µm (0.650mm)</w:t>
      </w:r>
    </w:p>
    <w:p>
      <w:pPr>
        <w:spacing w:after="160"/>
      </w:pPr>
      <w:r>
        <w:t xml:space="preserve">In plain terms: the </w:t>
      </w:r>
      <w:r>
        <w:rPr>
          <w:b/>
          <w:bCs/>
        </w:rPr>
        <w:t xml:space="preserve">pad</w:t>
      </w:r>
      <w:r>
        <w:t xml:space="preserve"> is the qubit's actual capacitor structure (visible as the blue bars in every render) — its size is one of the physical factors that sets the qubit's operating frequency in a real device (larger pad → more capacitance → lower frequency, qualitatively). The </w:t>
      </w:r>
      <w:r>
        <w:rPr>
          <w:b/>
          <w:bCs/>
        </w:rPr>
        <w:t xml:space="preserve">pocket</w:t>
      </w:r>
      <w:r>
        <w:t xml:space="preserve"> is the ground-plane cutout surrounding the qubit — it electromagnetically isolates the qubit from the surrounding ground plane, and its dimensions affect how the qubit couples to its environment. We used Qiskit Metal's standard example dimensions as a reasonable, literature-consistent starting point rather than deriving custom values from a target frequency — appropriate for a baseline/first-pass design.</w:t>
      </w:r>
    </w:p>
    <w:p>
      <w:pPr>
        <w:pStyle w:val="Heading1"/>
        <w:spacing w:after="160" w:before="300"/>
      </w:pPr>
      <w:r>
        <w:t xml:space="preserve">6. Connection Pads</w:t>
      </w:r>
    </w:p>
    <w:p>
      <w:pPr>
        <w:spacing w:after="160"/>
      </w:pPr>
      <w:r>
        <w:t xml:space="preserve">Each </w:t>
      </w:r>
      <w:r>
        <w:rPr>
          <w:b/>
          <w:bCs/>
        </w:rPr>
        <w:t xml:space="preserve">TransmonPocket</w:t>
      </w:r>
      <w:r>
        <w:t xml:space="preserve"> defines named connection pads — the physical attachment points where a coupler/router can later connect two qubits. A pad's position is set with </w:t>
      </w:r>
      <w:r>
        <w:rPr>
          <w:b/>
          <w:bCs/>
        </w:rPr>
        <w:t xml:space="preserve">loc_W</w:t>
      </w:r>
      <w:r>
        <w:t xml:space="preserve"> and </w:t>
      </w:r>
      <w:r>
        <w:rPr>
          <w:b/>
          <w:bCs/>
        </w:rPr>
        <w:t xml:space="preserve">loc_H</w:t>
      </w:r>
      <w:r>
        <w:t xml:space="preserve">, and Qiskit Metal constrains both to </w:t>
      </w:r>
      <w:r>
        <w:rPr>
          <w:b/>
          <w:bCs/>
        </w:rPr>
        <w:t xml:space="preserve">{-1, 1}</w:t>
      </w:r>
      <w:r>
        <w:t xml:space="preserve"> — only the four corners of the pocket support a pad, not arbitrary compass directions. We hit this constraint directly while building the star topology: an initial attempt to place pads at true north/east/south/west (loc_W or loc_H = 0) failed, and the working solution instead places outer qubits diagonally (NE/NW/SE/SW) so each pad naturally sits on a valid corner facing the hub.</w:t>
      </w:r>
    </w:p>
    <w:p>
      <w:pPr>
        <w:spacing w:after="160"/>
      </w:pPr>
      <w:r>
        <w:rPr>
          <w:b/>
          <w:bCs/>
        </w:rPr>
        <w:t xml:space="preserve">The number of connection pads a qubit needs is directly determined by its topology graph degree (see Task 2):</w:t>
      </w:r>
    </w:p>
    <w:p>
      <w:pPr>
        <w:pStyle w:val="ListParagraph"/>
        <w:numPr>
          <w:ilvl w:val="0"/>
          <w:numId w:val="1"/>
        </w:numPr>
        <w:spacing w:after="100"/>
      </w:pPr>
      <w:r>
        <w:t xml:space="preserve">Star hub (Q1): </w:t>
      </w:r>
      <w:r>
        <w:rPr>
          <w:b/>
          <w:bCs/>
        </w:rPr>
        <w:t xml:space="preserve">4 pads</w:t>
      </w:r>
      <w:r>
        <w:t xml:space="preserve"> (one per corner) — matches max degree 4</w:t>
      </w:r>
    </w:p>
    <w:p>
      <w:pPr>
        <w:pStyle w:val="ListParagraph"/>
        <w:numPr>
          <w:ilvl w:val="0"/>
          <w:numId w:val="1"/>
        </w:numPr>
        <w:spacing w:after="100"/>
      </w:pPr>
      <w:r>
        <w:t xml:space="preserve">Chain interior qubits (Q2, Q3, Q4): </w:t>
      </w:r>
      <w:r>
        <w:rPr>
          <w:b/>
          <w:bCs/>
        </w:rPr>
        <w:t xml:space="preserve">2 pads</w:t>
      </w:r>
      <w:r>
        <w:t xml:space="preserve"> each — matches degree 2</w:t>
      </w:r>
    </w:p>
    <w:p>
      <w:pPr>
        <w:pStyle w:val="ListParagraph"/>
        <w:numPr>
          <w:ilvl w:val="0"/>
          <w:numId w:val="1"/>
        </w:numPr>
        <w:spacing w:after="100"/>
      </w:pPr>
      <w:r>
        <w:t xml:space="preserve">Chain endpoint qubits (Q1, Q5): </w:t>
      </w:r>
      <w:r>
        <w:t xml:space="preserve">defined with 2 pads each for implementation consistency, but only 1 is actually used in routing — matching their true degree of 1</w:t>
      </w:r>
    </w:p>
    <w:p>
      <w:pPr>
        <w:spacing w:after="160"/>
      </w:pPr>
      <w:r>
        <w:rPr>
          <w:i/>
          <w:iCs/>
        </w:rPr>
        <w:t xml:space="preserve">Design note: endpoint qubits carry a nominally unused connection pad. This does not affect DRC or routing correctness; it reflects a uniform implementation choice (defining the same pad set on every qubit) over per-node customization, and is recorded here for transparency rather than treated as an error.</w:t>
      </w:r>
    </w:p>
    <w:p>
      <w:pPr>
        <w:pStyle w:val="Heading1"/>
        <w:spacing w:after="160" w:before="300"/>
      </w:pPr>
      <w:r>
        <w:t xml:space="preserve">7. Fillet (Coupler Corner Geometry)</w:t>
      </w:r>
    </w:p>
    <w:p>
      <w:pPr>
        <w:spacing w:after="160"/>
      </w:pPr>
      <w:r>
        <w:t xml:space="preserve">Fillet is a property of the </w:t>
      </w:r>
      <w:r>
        <w:rPr>
          <w:b/>
          <w:bCs/>
        </w:rPr>
        <w:t xml:space="preserve">routed coupler</w:t>
      </w:r>
      <w:r>
        <w:t xml:space="preserve">, not the qubit itself, so it is documented here as a manufacturability detail distinct from Section 3's straight-line trace rules. Real microwave CPW traces cannot have sharp 90° bends without current crowding and impedance discontinuities at that corner, so every routed coupler in our baseline uses a </w:t>
      </w:r>
      <w:r>
        <w:rPr>
          <w:b/>
          <w:bCs/>
        </w:rPr>
        <w:t xml:space="preserve">50µm fillet radius</w:t>
      </w:r>
      <w:r>
        <w:t xml:space="preserve"> to round each bend — a standard practice in real superconducting device layouts.</w:t>
      </w:r>
    </w:p>
    <w:p>
      <w:pPr>
        <w:spacing w:after="160"/>
      </w:pPr>
      <w:r>
        <w:t xml:space="preserve">This value was applied uniformly across all couplers in both topologies and did not require tuning at the baseline stage; a finer EM-aware fillet analysis (e.g. minimum fillet radius vs. trace width for a given impedance target) is deferred to the Task 4 routing discussion, alongside crossings and airbridges.</w:t>
      </w:r>
    </w:p>
    <w:p>
      <w:pPr>
        <w:pStyle w:val="Heading1"/>
        <w:spacing w:after="160" w:before="300"/>
      </w:pPr>
      <w:r>
        <w:t xml:space="preserve">8. Baseline Verification (DRC Test Run)</w:t>
      </w:r>
    </w:p>
    <w:p>
      <w:pPr>
        <w:spacing w:after="160"/>
      </w:pPr>
      <w:r>
        <w:rPr>
          <w:i/>
          <w:iCs/>
        </w:rPr>
        <w:t xml:space="preserve">After running run.py (testing both nominal thresholds and stricter edge-case thresholds):</w:t>
      </w:r>
    </w:p>
    <w:p>
      <w:pPr>
        <w:spacing w:after="160"/>
      </w:pPr>
      <w:r>
        <w:t xml:space="preserve">Our baseline design passes all design rules at nominal thresholds (0.3mm spacing, 0.5mm keep-out) for both the chain and star topologies. When we stress-tested the same chain layout against a stricter 1.0mm keep-out margin, the two end qubits (Q1, Q5) failed — indicating the chain topology has less edge margin than the star topology at this chip size, since chain qubits sit farther from center by design. This is treated as a deliberate sensitivity test, not a defect in the baseline.</w:t>
      </w:r>
    </w:p>
    <w:p>
      <w:pPr>
        <w:pStyle w:val="Heading1"/>
        <w:spacing w:after="160" w:before="300"/>
      </w:pPr>
      <w:r>
        <w:t xml:space="preserve">9. Task 1 Completeness Checklist</w:t>
      </w:r>
    </w:p>
    <w:p>
      <w:pPr>
        <w:spacing w:after="160"/>
      </w:pPr>
      <w:r>
        <w:t xml:space="preserve">Mapped directly against the challenge's baseline requirements, for evaluation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00"/>
      </w:tblGrid>
      <w:tr>
        <w:tc>
          <w:tcPr>
            <w:tcW w:type="dxa" w:w="3800"/>
            <w:shd w:fill="D9E2F3" w:val="clear"/>
          </w:tcPr>
          <w:p>
            <w:r>
              <w:rPr>
                <w:b/>
                <w:bCs/>
              </w:rPr>
              <w:t xml:space="preserve">Requirement</w:t>
            </w:r>
          </w:p>
        </w:tc>
        <w:tc>
          <w:tcPr>
            <w:tcW w:type="dxa" w:w="1400"/>
            <w:shd w:fill="D9E2F3" w:val="clear"/>
          </w:tcPr>
          <w:p>
            <w:r>
              <w:rPr>
                <w:b/>
                <w:bCs/>
              </w:rPr>
              <w:t xml:space="preserve">Status</w:t>
            </w:r>
          </w:p>
        </w:tc>
        <w:tc>
          <w:tcPr>
            <w:tcW w:type="dxa" w:w="3800"/>
            <w:shd w:fill="D9E2F3" w:val="clear"/>
          </w:tcPr>
          <w:p>
            <w:r>
              <w:rPr>
                <w:b/>
                <w:bCs/>
              </w:rPr>
              <w:t xml:space="preserve">Where covered</w:t>
            </w:r>
          </w:p>
        </w:tc>
      </w:tr>
      <w:tr>
        <w:tc>
          <w:tcPr>
            <w:tcW w:type="dxa" w:w="3800"/>
          </w:tcPr>
          <w:p>
            <w:r>
              <w:rPr>
                <w:b w:val="false"/>
                <w:bCs w:val="false"/>
              </w:rPr>
              <w:t xml:space="preserve">5-qubit design using TransmonPocket</w:t>
            </w:r>
          </w:p>
        </w:tc>
        <w:tc>
          <w:tcPr>
            <w:tcW w:type="dxa" w:w="1400"/>
          </w:tcPr>
          <w:p>
            <w:r>
              <w:rPr>
                <w:b w:val="false"/>
                <w:bCs w:val="false"/>
              </w:rPr>
              <w:t xml:space="preserve">Done</w:t>
            </w:r>
          </w:p>
        </w:tc>
        <w:tc>
          <w:tcPr>
            <w:tcW w:type="dxa" w:w="3800"/>
          </w:tcPr>
          <w:p>
            <w:r>
              <w:rPr>
                <w:b w:val="false"/>
                <w:bCs w:val="false"/>
              </w:rPr>
              <w:t xml:space="preserve">chain_topology.py, star_topology.py (Sections 1, 5)</w:t>
            </w:r>
          </w:p>
        </w:tc>
      </w:tr>
      <w:tr>
        <w:tc>
          <w:tcPr>
            <w:tcW w:type="dxa" w:w="3800"/>
          </w:tcPr>
          <w:p>
            <w:r>
              <w:rPr>
                <w:b w:val="false"/>
                <w:bCs w:val="false"/>
              </w:rPr>
              <w:t xml:space="preserve">Defined chip footprint</w:t>
            </w:r>
          </w:p>
        </w:tc>
        <w:tc>
          <w:tcPr>
            <w:tcW w:type="dxa" w:w="1400"/>
          </w:tcPr>
          <w:p>
            <w:r>
              <w:rPr>
                <w:b w:val="false"/>
                <w:bCs w:val="false"/>
              </w:rPr>
              <w:t xml:space="preserve">Done</w:t>
            </w:r>
          </w:p>
        </w:tc>
        <w:tc>
          <w:tcPr>
            <w:tcW w:type="dxa" w:w="3800"/>
          </w:tcPr>
          <w:p>
            <w:r>
              <w:rPr>
                <w:b w:val="false"/>
                <w:bCs w:val="false"/>
              </w:rPr>
              <w:t xml:space="preserve">Section 1</w:t>
            </w:r>
          </w:p>
        </w:tc>
      </w:tr>
      <w:tr>
        <w:tc>
          <w:tcPr>
            <w:tcW w:type="dxa" w:w="3800"/>
          </w:tcPr>
          <w:p>
            <w:r>
              <w:rPr>
                <w:b w:val="false"/>
                <w:bCs w:val="false"/>
              </w:rPr>
              <w:t xml:space="preserve">Minimum qubit-to-qubit spacing rule</w:t>
            </w:r>
          </w:p>
        </w:tc>
        <w:tc>
          <w:tcPr>
            <w:tcW w:type="dxa" w:w="1400"/>
          </w:tcPr>
          <w:p>
            <w:r>
              <w:rPr>
                <w:b w:val="false"/>
                <w:bCs w:val="false"/>
              </w:rPr>
              <w:t xml:space="preserve">Done</w:t>
            </w:r>
          </w:p>
        </w:tc>
        <w:tc>
          <w:tcPr>
            <w:tcW w:type="dxa" w:w="3800"/>
          </w:tcPr>
          <w:p>
            <w:r>
              <w:rPr>
                <w:b w:val="false"/>
                <w:bCs w:val="false"/>
              </w:rPr>
              <w:t xml:space="preserve">Section 2; drc_check.py: check_qubit_spacing</w:t>
            </w:r>
          </w:p>
        </w:tc>
      </w:tr>
      <w:tr>
        <w:tc>
          <w:tcPr>
            <w:tcW w:type="dxa" w:w="3800"/>
          </w:tcPr>
          <w:p>
            <w:r>
              <w:rPr>
                <w:b w:val="false"/>
                <w:bCs w:val="false"/>
              </w:rPr>
              <w:t xml:space="preserve">Minimum trace width/gap for CPW</w:t>
            </w:r>
          </w:p>
        </w:tc>
        <w:tc>
          <w:tcPr>
            <w:tcW w:type="dxa" w:w="1400"/>
          </w:tcPr>
          <w:p>
            <w:r>
              <w:rPr>
                <w:b w:val="false"/>
                <w:bCs w:val="false"/>
              </w:rPr>
              <w:t xml:space="preserve">Done</w:t>
            </w:r>
          </w:p>
        </w:tc>
        <w:tc>
          <w:tcPr>
            <w:tcW w:type="dxa" w:w="3800"/>
          </w:tcPr>
          <w:p>
            <w:r>
              <w:rPr>
                <w:b w:val="false"/>
                <w:bCs w:val="false"/>
              </w:rPr>
              <w:t xml:space="preserve">Section 3; Qiskit Metal defaults (10µm/6µm)</w:t>
            </w:r>
          </w:p>
        </w:tc>
      </w:tr>
      <w:tr>
        <w:tc>
          <w:tcPr>
            <w:tcW w:type="dxa" w:w="3800"/>
          </w:tcPr>
          <w:p>
            <w:r>
              <w:rPr>
                <w:b w:val="false"/>
                <w:bCs w:val="false"/>
              </w:rPr>
              <w:t xml:space="preserve">Keep-out zones near chip edges</w:t>
            </w:r>
          </w:p>
        </w:tc>
        <w:tc>
          <w:tcPr>
            <w:tcW w:type="dxa" w:w="1400"/>
          </w:tcPr>
          <w:p>
            <w:r>
              <w:rPr>
                <w:b w:val="false"/>
                <w:bCs w:val="false"/>
              </w:rPr>
              <w:t xml:space="preserve">Done</w:t>
            </w:r>
          </w:p>
        </w:tc>
        <w:tc>
          <w:tcPr>
            <w:tcW w:type="dxa" w:w="3800"/>
          </w:tcPr>
          <w:p>
            <w:r>
              <w:rPr>
                <w:b w:val="false"/>
                <w:bCs w:val="false"/>
              </w:rPr>
              <w:t xml:space="preserve">Section 4; drc_check.py: check_keepout</w:t>
            </w:r>
          </w:p>
        </w:tc>
      </w:tr>
      <w:tr>
        <w:tc>
          <w:tcPr>
            <w:tcW w:type="dxa" w:w="3800"/>
          </w:tcPr>
          <w:p>
            <w:r>
              <w:rPr>
                <w:b w:val="false"/>
                <w:bCs w:val="false"/>
              </w:rPr>
              <w:t xml:space="preserve">Foundry-style DRC (manual or tool-based)</w:t>
            </w:r>
          </w:p>
        </w:tc>
        <w:tc>
          <w:tcPr>
            <w:tcW w:type="dxa" w:w="1400"/>
          </w:tcPr>
          <w:p>
            <w:r>
              <w:rPr>
                <w:b w:val="false"/>
                <w:bCs w:val="false"/>
              </w:rPr>
              <w:t xml:space="preserve">Done</w:t>
            </w:r>
          </w:p>
        </w:tc>
        <w:tc>
          <w:tcPr>
            <w:tcW w:type="dxa" w:w="3800"/>
          </w:tcPr>
          <w:p>
            <w:r>
              <w:rPr>
                <w:b w:val="false"/>
                <w:bCs w:val="false"/>
              </w:rPr>
              <w:t xml:space="preserve">drc_check.py; verified in Section 8</w:t>
            </w:r>
          </w:p>
        </w:tc>
      </w:tr>
      <w:tr>
        <w:tc>
          <w:tcPr>
            <w:tcW w:type="dxa" w:w="3800"/>
          </w:tcPr>
          <w:p>
            <w:r>
              <w:rPr>
                <w:b w:val="false"/>
                <w:bCs w:val="false"/>
              </w:rPr>
              <w:t xml:space="preserve">Connection pad / pin geometry documented</w:t>
            </w:r>
          </w:p>
        </w:tc>
        <w:tc>
          <w:tcPr>
            <w:tcW w:type="dxa" w:w="1400"/>
          </w:tcPr>
          <w:p>
            <w:r>
              <w:rPr>
                <w:b w:val="false"/>
                <w:bCs w:val="false"/>
              </w:rPr>
              <w:t xml:space="preserve">Done</w:t>
            </w:r>
          </w:p>
        </w:tc>
        <w:tc>
          <w:tcPr>
            <w:tcW w:type="dxa" w:w="3800"/>
          </w:tcPr>
          <w:p>
            <w:r>
              <w:rPr>
                <w:b w:val="false"/>
                <w:bCs w:val="false"/>
              </w:rPr>
              <w:t xml:space="preserve">Section 6</w:t>
            </w:r>
          </w:p>
        </w:tc>
      </w:tr>
      <w:tr>
        <w:tc>
          <w:tcPr>
            <w:tcW w:type="dxa" w:w="3800"/>
          </w:tcPr>
          <w:p>
            <w:r>
              <w:rPr>
                <w:b w:val="false"/>
                <w:bCs w:val="false"/>
              </w:rPr>
              <w:t xml:space="preserve">Coupler corner (fillet) geometry documented</w:t>
            </w:r>
          </w:p>
        </w:tc>
        <w:tc>
          <w:tcPr>
            <w:tcW w:type="dxa" w:w="1400"/>
          </w:tcPr>
          <w:p>
            <w:r>
              <w:rPr>
                <w:b w:val="false"/>
                <w:bCs w:val="false"/>
              </w:rPr>
              <w:t xml:space="preserve">Done</w:t>
            </w:r>
          </w:p>
        </w:tc>
        <w:tc>
          <w:tcPr>
            <w:tcW w:type="dxa" w:w="3800"/>
          </w:tcPr>
          <w:p>
            <w:r>
              <w:rPr>
                <w:b w:val="false"/>
                <w:bCs w:val="false"/>
              </w:rPr>
              <w:t xml:space="preserve">Section 7</w:t>
            </w:r>
          </w:p>
        </w:tc>
      </w:tr>
    </w:tbl>
    <w:p>
      <w:pPr>
        <w:spacing w:before="240"/>
      </w:pPr>
      <w:r>
        <w:rPr>
          <w:b/>
          <w:bCs/>
        </w:rPr>
        <w:t xml:space="preserve">Artifacts: </w:t>
      </w:r>
      <w:r>
        <w:t xml:space="preserve">chain_topology.py, star_topology.py, drc_check.py, chain_render.png, star_render.png — all referenced above and included as supporting files.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2026-09-06T22:32:21.147Z</dcterms:created>
  <dcterms:modified xsi:type="dcterms:W3CDTF">2026-09-06T22:32:21.158Z</dcterms:modified>
</cp:coreProperties>
</file>

<file path=docProps/custom.xml><?xml version="1.0" encoding="utf-8"?>
<Properties xmlns="http://schemas.openxmlformats.org/officeDocument/2006/custom-properties" xmlns:vt="http://schemas.openxmlformats.org/officeDocument/2006/docPropsVTypes"/>
</file>