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</w:pPr>
      <w:r>
        <w:rPr>
          <w:rFonts w:ascii="Arial" w:hAnsi="Arial" w:cs="Arial" w:eastAsia="Arial"/>
          <w:b/>
          <w:i w:val="0"/>
          <w:sz w:val="32"/>
          <w:szCs w:val="32"/>
          <w:bCs w:val="1"/>
          <w:iCs w:val="0"/>
        </w:rPr>
        <w:t>TH font A/B sheet</w:t>
      </w:r>
    </w:p>
    <w:p>
      <w:pPr>
        <w:spacing w:line="240" w:lineRule="auto" w:before="0" w:after="280"/>
      </w:pPr>
      <w:r>
        <w:rPr>
          <w:rFonts w:ascii="Arial" w:hAnsi="Arial" w:cs="Arial" w:eastAsia="Arial"/>
          <w:b w:val="0"/>
          <w:i w:val="0"/>
          <w:color w:val="888888"/>
          <w:sz w:val="18"/>
          <w:szCs w:val="18"/>
          <w:bCs w:val="0"/>
          <w:iCs w:val="0"/>
        </w:rPr>
        <w:t>Each pair is the same text at the same size with single line spacing. The merged face must match its source: same leading, same letterforms, same line breaks. Export to PDF and run scripts/check_ab_test_pdf.py — if a family below is missing from the PDF, Word substituted it and that pair proves nothing.</w:t>
      </w:r>
    </w:p>
    <w:p>
      <w:pPr>
        <w:spacing w:line="240" w:lineRule="auto" w:before="0" w:after="80"/>
      </w:pPr>
      <w:r>
        <w:rPr>
          <w:rFonts w:ascii="Arial" w:hAnsi="Arial" w:cs="Arial" w:eastAsia="Arial"/>
          <w:b/>
          <w:i w:val="0"/>
          <w:color w:val="888888"/>
          <w:sz w:val="18"/>
          <w:szCs w:val="18"/>
          <w:bCs w:val="1"/>
          <w:iCs w:val="0"/>
        </w:rPr>
        <w:t>Aeonik  -&gt;  TH Aeonik    (Latin leading and letterform)</w:t>
      </w:r>
    </w:p>
    <w:p>
      <w:pPr>
        <w:spacing w:line="240" w:lineRule="auto" w:before="0" w:after="20"/>
      </w:pPr>
      <w:r>
        <w:rPr>
          <w:rFonts w:ascii="Aeonik" w:hAnsi="Aeonik" w:cs="Aeonik" w:eastAsia="Aeonik"/>
          <w:b w:val="0"/>
          <w:i w:val="0"/>
          <w:sz w:val="22"/>
          <w:szCs w:val="22"/>
          <w:bCs w:val="0"/>
          <w:iCs w:val="0"/>
        </w:rPr>
        <w:t>This is a test English paragraph. Switching it between the source face and the merged face must not change the leading, the letterforms or where the lines break. Handgloves 0123456789 quick brown fox.</w:t>
      </w:r>
    </w:p>
    <w:p>
      <w:pPr>
        <w:spacing w:line="240" w:lineRule="auto" w:before="0" w:after="160"/>
      </w:pPr>
      <w:r>
        <w:rPr>
          <w:rFonts w:ascii="Arial" w:hAnsi="Arial" w:cs="Arial" w:eastAsia="Arial"/>
          <w:b w:val="0"/>
          <w:i w:val="0"/>
          <w:color w:val="888888"/>
          <w:sz w:val="16"/>
          <w:szCs w:val="16"/>
          <w:bCs w:val="0"/>
          <w:iCs w:val="0"/>
        </w:rPr>
        <w:t>^ Aeonik</w:t>
      </w:r>
    </w:p>
    <w:p>
      <w:pPr>
        <w:spacing w:line="240" w:lineRule="auto" w:before="0" w:after="20"/>
      </w:pPr>
      <w:r>
        <w:rPr>
          <w:rFonts w:ascii="TH Aeonik" w:hAnsi="TH Aeonik" w:cs="TH Aeonik" w:eastAsia="TH Aeonik"/>
          <w:b w:val="0"/>
          <w:i w:val="0"/>
          <w:sz w:val="22"/>
          <w:szCs w:val="22"/>
          <w:bCs w:val="0"/>
          <w:iCs w:val="0"/>
        </w:rPr>
        <w:t>This is a test English paragraph. Switching it between the source face and the merged face must not change the leading, the letterforms or where the lines break. Handgloves 0123456789 quick brown fox.</w:t>
      </w:r>
    </w:p>
    <w:p>
      <w:pPr>
        <w:spacing w:line="240" w:lineRule="auto" w:before="0" w:after="160"/>
      </w:pPr>
      <w:r>
        <w:rPr>
          <w:rFonts w:ascii="Arial" w:hAnsi="Arial" w:cs="Arial" w:eastAsia="Arial"/>
          <w:b w:val="0"/>
          <w:i w:val="0"/>
          <w:color w:val="888888"/>
          <w:sz w:val="16"/>
          <w:szCs w:val="16"/>
          <w:bCs w:val="0"/>
          <w:iCs w:val="0"/>
        </w:rPr>
        <w:t>^ TH Aeonik</w:t>
      </w:r>
    </w:p>
    <w:p>
      <w:pPr>
        <w:spacing w:line="240" w:lineRule="auto" w:before="0" w:after="80"/>
      </w:pPr>
      <w:r>
        <w:rPr>
          <w:rFonts w:ascii="Arial" w:hAnsi="Arial" w:cs="Arial" w:eastAsia="Arial"/>
          <w:b/>
          <w:i w:val="0"/>
          <w:color w:val="888888"/>
          <w:sz w:val="18"/>
          <w:szCs w:val="18"/>
          <w:bCs w:val="1"/>
          <w:iCs w:val="0"/>
        </w:rPr>
        <w:t>Slussen  -&gt;  TH Slussen    (Latin leading and letterform)</w:t>
      </w:r>
    </w:p>
    <w:p>
      <w:pPr>
        <w:spacing w:line="240" w:lineRule="auto" w:before="0" w:after="20"/>
      </w:pPr>
      <w:r>
        <w:rPr>
          <w:rFonts w:ascii="Slussen" w:hAnsi="Slussen" w:cs="Slussen" w:eastAsia="Slussen"/>
          <w:b w:val="0"/>
          <w:i w:val="0"/>
          <w:sz w:val="22"/>
          <w:szCs w:val="22"/>
          <w:bCs w:val="0"/>
          <w:iCs w:val="0"/>
        </w:rPr>
        <w:t>This is a test English paragraph. Switching it between the source face and the merged face must not change the leading, the letterforms or where the lines break. Handgloves 0123456789 quick brown fox.</w:t>
      </w:r>
    </w:p>
    <w:p>
      <w:pPr>
        <w:spacing w:line="240" w:lineRule="auto" w:before="0" w:after="160"/>
      </w:pPr>
      <w:r>
        <w:rPr>
          <w:rFonts w:ascii="Arial" w:hAnsi="Arial" w:cs="Arial" w:eastAsia="Arial"/>
          <w:b w:val="0"/>
          <w:i w:val="0"/>
          <w:color w:val="888888"/>
          <w:sz w:val="16"/>
          <w:szCs w:val="16"/>
          <w:bCs w:val="0"/>
          <w:iCs w:val="0"/>
        </w:rPr>
        <w:t>^ Slussen</w:t>
      </w:r>
    </w:p>
    <w:p>
      <w:pPr>
        <w:spacing w:line="240" w:lineRule="auto" w:before="0" w:after="20"/>
      </w:pPr>
      <w:r>
        <w:rPr>
          <w:rFonts w:ascii="TH Slussen" w:hAnsi="TH Slussen" w:cs="TH Slussen" w:eastAsia="TH Slussen"/>
          <w:b w:val="0"/>
          <w:i w:val="0"/>
          <w:sz w:val="22"/>
          <w:szCs w:val="22"/>
          <w:bCs w:val="0"/>
          <w:iCs w:val="0"/>
        </w:rPr>
        <w:t>This is a test English paragraph. Switching it between the source face and the merged face must not change the leading, the letterforms or where the lines break. Handgloves 0123456789 quick brown fox.</w:t>
      </w:r>
    </w:p>
    <w:p>
      <w:pPr>
        <w:spacing w:line="240" w:lineRule="auto" w:before="0" w:after="160"/>
      </w:pPr>
      <w:r>
        <w:rPr>
          <w:rFonts w:ascii="Arial" w:hAnsi="Arial" w:cs="Arial" w:eastAsia="Arial"/>
          <w:b w:val="0"/>
          <w:i w:val="0"/>
          <w:color w:val="888888"/>
          <w:sz w:val="16"/>
          <w:szCs w:val="16"/>
          <w:bCs w:val="0"/>
          <w:iCs w:val="0"/>
        </w:rPr>
        <w:t>^ TH Slussen</w:t>
      </w:r>
    </w:p>
    <w:p>
      <w:pPr>
        <w:spacing w:line="240" w:lineRule="auto" w:before="0" w:after="80"/>
      </w:pPr>
      <w:r>
        <w:rPr>
          <w:rFonts w:ascii="Arial" w:hAnsi="Arial" w:cs="Arial" w:eastAsia="Arial"/>
          <w:b/>
          <w:i w:val="0"/>
          <w:color w:val="888888"/>
          <w:sz w:val="18"/>
          <w:szCs w:val="18"/>
          <w:bCs w:val="1"/>
          <w:iCs w:val="0"/>
        </w:rPr>
        <w:t>Bai Jamjuree  -&gt;  TH Aeonik    (Thai size, weight and stacks)</w:t>
      </w:r>
    </w:p>
    <w:p>
      <w:pPr>
        <w:spacing w:line="240" w:lineRule="auto" w:before="0" w:after="20"/>
      </w:pPr>
      <w:r>
        <w:rPr>
          <w:rFonts w:ascii="Bai Jamjuree" w:hAnsi="Bai Jamjuree" w:cs="Bai Jamjuree" w:eastAsia="Bai Jamjuree"/>
          <w:b w:val="0"/>
          <w:i w:val="0"/>
          <w:sz w:val="22"/>
          <w:szCs w:val="22"/>
          <w:bCs w:val="0"/>
          <w:iCs w:val="0"/>
        </w:rPr>
        <w:t>จากการตรวจสอบกระบวนการผลิต ณ โรงงานน้ำตาลไทยรุ่งเรือง ศรีเทพ เมื่อวันที่ 28 พฤษภาคม 2569 เพื่อหาสาเหตุปัญหากลิ่นแปลกปลอมในน้ำเชื่อม พบว่ากลิ่นดังกล่าวเกิดขึ้นที่กระบวนการลดค่าสีด้วยเรซิน โดยคาดว่ามีสาเหตุจากน้ำเกลือใน Brine Recovery System ที่พักไว้นานจนเกิดการเน่าเสีย เมื่อนำไปใช้ล้างเรซินจึงทำให้กลิ่นสะสมในเม็ดเรซินและปนเปื้อนไปกับน้ำเชื่อมที่ผลิตได้</w:t>
      </w:r>
    </w:p>
    <w:p>
      <w:pPr>
        <w:spacing w:line="240" w:lineRule="auto" w:before="0" w:after="160"/>
      </w:pPr>
      <w:r>
        <w:rPr>
          <w:rFonts w:ascii="Arial" w:hAnsi="Arial" w:cs="Arial" w:eastAsia="Arial"/>
          <w:b w:val="0"/>
          <w:i w:val="0"/>
          <w:color w:val="888888"/>
          <w:sz w:val="16"/>
          <w:szCs w:val="16"/>
          <w:bCs w:val="0"/>
          <w:iCs w:val="0"/>
        </w:rPr>
        <w:t>^ Bai Jamjuree</w:t>
      </w:r>
    </w:p>
    <w:p>
      <w:pPr>
        <w:spacing w:line="240" w:lineRule="auto" w:before="0" w:after="20"/>
      </w:pPr>
      <w:r>
        <w:rPr>
          <w:rFonts w:ascii="TH Aeonik" w:hAnsi="TH Aeonik" w:cs="TH Aeonik" w:eastAsia="TH Aeonik"/>
          <w:b w:val="0"/>
          <w:i w:val="0"/>
          <w:sz w:val="22"/>
          <w:szCs w:val="22"/>
          <w:bCs w:val="0"/>
          <w:iCs w:val="0"/>
        </w:rPr>
        <w:t>จากการตรวจสอบกระบวนการผลิต ณ โรงงานน้ำตาลไทยรุ่งเรือง ศรีเทพ เมื่อวันที่ 28 พฤษภาคม 2569 เพื่อหาสาเหตุปัญหากลิ่นแปลกปลอมในน้ำเชื่อม พบว่ากลิ่นดังกล่าวเกิดขึ้นที่กระบวนการลดค่าสีด้วยเรซิน โดยคาดว่ามีสาเหตุจากน้ำเกลือใน Brine Recovery System ที่พักไว้นานจนเกิดการเน่าเสีย เมื่อนำไปใช้ล้างเรซินจึงทำให้กลิ่นสะสมในเม็ดเรซินและปนเปื้อนไปกับน้ำเชื่อมที่ผลิตได้</w:t>
      </w:r>
    </w:p>
    <w:p>
      <w:pPr>
        <w:spacing w:line="240" w:lineRule="auto" w:before="0" w:after="160"/>
      </w:pPr>
      <w:r>
        <w:rPr>
          <w:rFonts w:ascii="Arial" w:hAnsi="Arial" w:cs="Arial" w:eastAsia="Arial"/>
          <w:b w:val="0"/>
          <w:i w:val="0"/>
          <w:color w:val="888888"/>
          <w:sz w:val="16"/>
          <w:szCs w:val="16"/>
          <w:bCs w:val="0"/>
          <w:iCs w:val="0"/>
        </w:rPr>
        <w:t>^ TH Aeonik</w:t>
      </w:r>
    </w:p>
    <w:p>
      <w:pPr>
        <w:spacing w:line="240" w:lineRule="auto" w:before="0" w:after="80"/>
      </w:pPr>
      <w:r>
        <w:rPr>
          <w:rFonts w:ascii="Arial" w:hAnsi="Arial" w:cs="Arial" w:eastAsia="Arial"/>
          <w:b/>
          <w:i w:val="0"/>
          <w:color w:val="888888"/>
          <w:sz w:val="18"/>
          <w:szCs w:val="18"/>
          <w:bCs w:val="1"/>
          <w:iCs w:val="0"/>
        </w:rPr>
        <w:t>Bai Jamjuree  -&gt;  TH Slussen    (Thai size, weight and stacks)</w:t>
      </w:r>
    </w:p>
    <w:p>
      <w:pPr>
        <w:spacing w:line="240" w:lineRule="auto" w:before="0" w:after="20"/>
      </w:pPr>
      <w:r>
        <w:rPr>
          <w:rFonts w:ascii="Bai Jamjuree" w:hAnsi="Bai Jamjuree" w:cs="Bai Jamjuree" w:eastAsia="Bai Jamjuree"/>
          <w:b w:val="0"/>
          <w:i w:val="0"/>
          <w:sz w:val="22"/>
          <w:szCs w:val="22"/>
          <w:bCs w:val="0"/>
          <w:iCs w:val="0"/>
        </w:rPr>
        <w:t>จากการตรวจสอบกระบวนการผลิต ณ โรงงานน้ำตาลไทยรุ่งเรือง ศรีเทพ เมื่อวันที่ 28 พฤษภาคม 2569 เพื่อหาสาเหตุปัญหากลิ่นแปลกปลอมในน้ำเชื่อม พบว่ากลิ่นดังกล่าวเกิดขึ้นที่กระบวนการลดค่าสีด้วยเรซิน โดยคาดว่ามีสาเหตุจากน้ำเกลือใน Brine Recovery System ที่พักไว้นานจนเกิดการเน่าเสีย เมื่อนำไปใช้ล้างเรซินจึงทำให้กลิ่นสะสมในเม็ดเรซินและปนเปื้อนไปกับน้ำเชื่อมที่ผลิตได้</w:t>
      </w:r>
    </w:p>
    <w:p>
      <w:pPr>
        <w:spacing w:line="240" w:lineRule="auto" w:before="0" w:after="160"/>
      </w:pPr>
      <w:r>
        <w:rPr>
          <w:rFonts w:ascii="Arial" w:hAnsi="Arial" w:cs="Arial" w:eastAsia="Arial"/>
          <w:b w:val="0"/>
          <w:i w:val="0"/>
          <w:color w:val="888888"/>
          <w:sz w:val="16"/>
          <w:szCs w:val="16"/>
          <w:bCs w:val="0"/>
          <w:iCs w:val="0"/>
        </w:rPr>
        <w:t>^ Bai Jamjuree</w:t>
      </w:r>
    </w:p>
    <w:p>
      <w:pPr>
        <w:spacing w:line="240" w:lineRule="auto" w:before="0" w:after="20"/>
      </w:pPr>
      <w:r>
        <w:rPr>
          <w:rFonts w:ascii="TH Slussen" w:hAnsi="TH Slussen" w:cs="TH Slussen" w:eastAsia="TH Slussen"/>
          <w:b w:val="0"/>
          <w:i w:val="0"/>
          <w:sz w:val="22"/>
          <w:szCs w:val="22"/>
          <w:bCs w:val="0"/>
          <w:iCs w:val="0"/>
        </w:rPr>
        <w:t>จากการตรวจสอบกระบวนการผลิต ณ โรงงานน้ำตาลไทยรุ่งเรือง ศรีเทพ เมื่อวันที่ 28 พฤษภาคม 2569 เพื่อหาสาเหตุปัญหากลิ่นแปลกปลอมในน้ำเชื่อม พบว่ากลิ่นดังกล่าวเกิดขึ้นที่กระบวนการลดค่าสีด้วยเรซิน โดยคาดว่ามีสาเหตุจากน้ำเกลือใน Brine Recovery System ที่พักไว้นานจนเกิดการเน่าเสีย เมื่อนำไปใช้ล้างเรซินจึงทำให้กลิ่นสะสมในเม็ดเรซินและปนเปื้อนไปกับน้ำเชื่อมที่ผลิตได้</w:t>
      </w:r>
    </w:p>
    <w:p>
      <w:pPr>
        <w:spacing w:line="240" w:lineRule="auto" w:before="0" w:after="160"/>
      </w:pPr>
      <w:r>
        <w:rPr>
          <w:rFonts w:ascii="Arial" w:hAnsi="Arial" w:cs="Arial" w:eastAsia="Arial"/>
          <w:b w:val="0"/>
          <w:i w:val="0"/>
          <w:color w:val="888888"/>
          <w:sz w:val="16"/>
          <w:szCs w:val="16"/>
          <w:bCs w:val="0"/>
          <w:iCs w:val="0"/>
        </w:rPr>
        <w:t>^ TH Slussen</w:t>
      </w:r>
    </w:p>
    <w:p>
      <w:pPr>
        <w:spacing w:line="240" w:lineRule="auto" w:before="0" w:after="80"/>
      </w:pPr>
      <w:r>
        <w:rPr>
          <w:rFonts w:ascii="Arial" w:hAnsi="Arial" w:cs="Arial" w:eastAsia="Arial"/>
          <w:b/>
          <w:i w:val="0"/>
          <w:color w:val="888888"/>
          <w:sz w:val="18"/>
          <w:szCs w:val="18"/>
          <w:bCs w:val="1"/>
          <w:iCs w:val="0"/>
        </w:rPr>
        <w:t>Uniscribe composition (needs GDEF classes + U+25CC)</w:t>
      </w:r>
    </w:p>
    <w:p>
      <w:pPr>
        <w:spacing w:line="240" w:lineRule="auto" w:before="0" w:after="80"/>
      </w:pPr>
      <w:r>
        <w:rPr>
          <w:rFonts w:ascii="Arial" w:hAnsi="Arial" w:cs="Arial" w:eastAsia="Arial"/>
          <w:b w:val="0"/>
          <w:i w:val="0"/>
          <w:color w:val="888888"/>
          <w:sz w:val="16"/>
          <w:szCs w:val="16"/>
          <w:bCs w:val="0"/>
          <w:iCs w:val="0"/>
        </w:rPr>
        <w:t>Repeated and isolated vowels must type and show a dotted circle, not vanish or refuse input.</w:t>
      </w:r>
    </w:p>
    <w:p>
      <w:pPr>
        <w:spacing w:line="240" w:lineRule="auto" w:before="0" w:after="20"/>
      </w:pPr>
      <w:r>
        <w:rPr>
          <w:rFonts w:ascii="TH Aeonik" w:hAnsi="TH Aeonik" w:cs="TH Aeonik" w:eastAsia="TH Aeonik"/>
          <w:b w:val="0"/>
          <w:i w:val="0"/>
          <w:sz w:val="28"/>
          <w:szCs w:val="28"/>
          <w:bCs w:val="0"/>
          <w:iCs w:val="0"/>
        </w:rPr>
        <w:t>าาาาาาา   ิ   ่   ์   ก็   สิทธิ์   ครั้ง   ขึ้น   กู่   จึ๊ง</w:t>
      </w:r>
    </w:p>
    <w:p>
      <w:pPr>
        <w:spacing w:line="240" w:lineRule="auto" w:before="0" w:after="160"/>
      </w:pPr>
      <w:r>
        <w:rPr>
          <w:rFonts w:ascii="Arial" w:hAnsi="Arial" w:cs="Arial" w:eastAsia="Arial"/>
          <w:b w:val="0"/>
          <w:i w:val="0"/>
          <w:color w:val="888888"/>
          <w:sz w:val="16"/>
          <w:szCs w:val="16"/>
          <w:bCs w:val="0"/>
          <w:iCs w:val="0"/>
        </w:rPr>
        <w:t>^ TH Aeonik</w:t>
      </w:r>
    </w:p>
    <w:p>
      <w:pPr>
        <w:spacing w:line="240" w:lineRule="auto" w:before="0" w:after="20"/>
      </w:pPr>
      <w:r>
        <w:rPr>
          <w:rFonts w:ascii="TH Slussen" w:hAnsi="TH Slussen" w:cs="TH Slussen" w:eastAsia="TH Slussen"/>
          <w:b w:val="0"/>
          <w:i w:val="0"/>
          <w:sz w:val="28"/>
          <w:szCs w:val="28"/>
          <w:bCs w:val="0"/>
          <w:iCs w:val="0"/>
        </w:rPr>
        <w:t>าาาาาาา   ิ   ่   ์   ก็   สิทธิ์   ครั้ง   ขึ้น   กู่   จึ๊ง</w:t>
      </w:r>
    </w:p>
    <w:p>
      <w:pPr>
        <w:spacing w:line="240" w:lineRule="auto" w:before="0" w:after="160"/>
      </w:pPr>
      <w:r>
        <w:rPr>
          <w:rFonts w:ascii="Arial" w:hAnsi="Arial" w:cs="Arial" w:eastAsia="Arial"/>
          <w:b w:val="0"/>
          <w:i w:val="0"/>
          <w:color w:val="888888"/>
          <w:sz w:val="16"/>
          <w:szCs w:val="16"/>
          <w:bCs w:val="0"/>
          <w:iCs w:val="0"/>
        </w:rPr>
        <w:t>^ TH Slussen</w:t>
      </w:r>
    </w:p>
    <w:p>
      <w:pPr>
        <w:spacing w:line="240" w:lineRule="auto" w:before="0" w:after="20"/>
      </w:pPr>
      <w:r>
        <w:rPr>
          <w:rFonts w:ascii="Bai Jamjuree" w:hAnsi="Bai Jamjuree" w:cs="Bai Jamjuree" w:eastAsia="Bai Jamjuree"/>
          <w:b w:val="0"/>
          <w:i w:val="0"/>
          <w:sz w:val="28"/>
          <w:szCs w:val="28"/>
          <w:bCs w:val="0"/>
          <w:iCs w:val="0"/>
        </w:rPr>
        <w:t>าาาาาาา   ิ   ่   ์   ก็   สิทธิ์   ครั้ง   ขึ้น   กู่   จึ๊ง</w:t>
      </w:r>
    </w:p>
    <w:p>
      <w:pPr>
        <w:spacing w:line="240" w:lineRule="auto" w:before="0" w:after="160"/>
      </w:pPr>
      <w:r>
        <w:rPr>
          <w:rFonts w:ascii="Arial" w:hAnsi="Arial" w:cs="Arial" w:eastAsia="Arial"/>
          <w:b w:val="0"/>
          <w:i w:val="0"/>
          <w:color w:val="888888"/>
          <w:sz w:val="16"/>
          <w:szCs w:val="16"/>
          <w:bCs w:val="0"/>
          <w:iCs w:val="0"/>
        </w:rPr>
        <w:t>^ Bai Jamjuree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