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eonik" w:hAnsi="Aeonik"/>
          <w:b/>
          <w:color w:val="263338"/>
          <w:sz w:val="52"/>
          <w:lang w:val="en-US"/>
        </w:rPr>
        <w:t>ICHITA Co., Ltd. — Company Brief</w:t>
      </w:r>
    </w:p>
    <w:p>
      <w:pPr>
        <w:spacing w:before="0" w:after="240"/>
        <w:pBdr>
          <w:bottom w:val="single" w:sz="24" w:space="1" w:color="2978FF"/>
        </w:pBdr>
      </w:pPr>
    </w:p>
    <w:p>
      <w:pPr>
        <w:spacing w:before="40" w:after="100"/>
      </w:pPr>
      <w:r>
        <w:rPr>
          <w:rFonts w:ascii="Aeonik" w:hAnsi="Aeonik"/>
          <w:b/>
          <w:color w:val="263338"/>
          <w:sz w:val="20"/>
          <w:lang w:val="en-US"/>
        </w:rPr>
        <w:t>Prepared by</w:t>
      </w:r>
      <w:r>
        <w:rPr>
          <w:rFonts w:ascii="Aeonik" w:hAnsi="Aeonik"/>
          <w:color w:val="263338"/>
          <w:sz w:val="20"/>
          <w:lang w:val="en-US"/>
        </w:rPr>
        <w:t xml:space="preserve">: ICHITA Thailand | </w:t>
      </w:r>
      <w:r>
        <w:rPr>
          <w:rFonts w:ascii="Aeonik" w:hAnsi="Aeonik"/>
          <w:b/>
          <w:color w:val="263338"/>
          <w:sz w:val="20"/>
          <w:lang w:val="en-US"/>
        </w:rPr>
        <w:t>Date</w:t>
      </w:r>
      <w:r>
        <w:rPr>
          <w:rFonts w:ascii="Aeonik" w:hAnsi="Aeonik"/>
          <w:color w:val="263338"/>
          <w:sz w:val="20"/>
          <w:lang w:val="en-US"/>
        </w:rPr>
        <w:t xml:space="preserve">: March 2026 | </w:t>
      </w:r>
      <w:r>
        <w:rPr>
          <w:rFonts w:ascii="Aeonik" w:hAnsi="Aeonik"/>
          <w:b/>
          <w:color w:val="263338"/>
          <w:sz w:val="20"/>
          <w:lang w:val="en-US"/>
        </w:rPr>
        <w:t>Classification</w:t>
      </w:r>
      <w:r>
        <w:rPr>
          <w:rFonts w:ascii="Aeonik" w:hAnsi="Aeonik"/>
          <w:color w:val="263338"/>
          <w:sz w:val="20"/>
          <w:lang w:val="en-US"/>
        </w:rPr>
        <w:t>: General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Executive Summary</w:t>
      </w:r>
    </w:p>
    <w:p>
      <w:pPr>
        <w:spacing w:before="40" w:after="100"/>
      </w:pPr>
      <w:r>
        <w:rPr>
          <w:rFonts w:ascii="Aeonik" w:hAnsi="Aeonik"/>
          <w:color w:val="263338"/>
          <w:sz w:val="20"/>
          <w:lang w:val="en-US"/>
        </w:rPr>
        <w:t>ICHITA is a Thai-based Original Equipment Manufacturer (OEM) specializing in separation technologies, water treatment, and process engineering solutions. With expertise spanning chromatographic purification, decolorization, and membrane filtration, ICHITA serves clients across food &amp; beverage, pharmaceutical, and industrial sectors.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Core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3135"/>
        <w:gridCol w:w="3135"/>
        <w:gridCol w:w="3135"/>
      </w:tblGrid>
      <w:tr>
        <w:trPr>
          <w:cantSplit/>
        </w:trPr>
        <w:tc>
          <w:tcPr>
            <w:tcW w:type="dxa" w:w="3135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Capability</w:t>
            </w:r>
          </w:p>
        </w:tc>
        <w:tc>
          <w:tcPr>
            <w:tcW w:type="dxa" w:w="3135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Description</w:t>
            </w:r>
          </w:p>
        </w:tc>
        <w:tc>
          <w:tcPr>
            <w:tcW w:type="dxa" w:w="3135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Key Markets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263338"/>
                <w:sz w:val="18"/>
                <w:lang w:val="en-US"/>
              </w:rPr>
              <w:t>Chromatographic Separation</w:t>
            </w:r>
          </w:p>
        </w:tc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SMB and batch chromatography for sugar purification, amino acids, and specialty chemicals</w:t>
            </w:r>
          </w:p>
        </w:tc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Food &amp; Beverage, Pharma</w:t>
            </w:r>
          </w:p>
        </w:tc>
      </w:tr>
      <w:tr>
        <w:trPr>
          <w:cantSplit/>
        </w:trPr>
        <w:tc>
          <w:tcPr>
            <w:tcW w:type="dxa" w:w="3135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263338"/>
                <w:sz w:val="18"/>
                <w:lang w:val="en-US"/>
              </w:rPr>
              <w:t>Decolorization Systems</w:t>
            </w:r>
          </w:p>
        </w:tc>
        <w:tc>
          <w:tcPr>
            <w:tcW w:type="dxa" w:w="3135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Activated carbon and ion exchange resin systems for color removal</w:t>
            </w:r>
          </w:p>
        </w:tc>
        <w:tc>
          <w:tcPr>
            <w:tcW w:type="dxa" w:w="3135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Sugar mills, Palm oil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263338"/>
                <w:sz w:val="18"/>
                <w:lang w:val="en-US"/>
              </w:rPr>
              <w:t>Membrane Filtration</w:t>
            </w:r>
          </w:p>
        </w:tc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UF, NF, and RO systems for water treatment and process concentration</w:t>
            </w:r>
          </w:p>
        </w:tc>
        <w:tc>
          <w:tcPr>
            <w:tcW w:type="dxa" w:w="3135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Industrial, Municipal</w:t>
            </w:r>
          </w:p>
        </w:tc>
      </w:tr>
      <w:tr>
        <w:trPr>
          <w:cantSplit/>
        </w:trPr>
        <w:tc>
          <w:tcPr>
            <w:tcW w:type="dxa" w:w="3135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b/>
                <w:color w:val="263338"/>
                <w:sz w:val="18"/>
                <w:lang w:val="en-US"/>
              </w:rPr>
              <w:t>Process Engineering</w:t>
            </w:r>
          </w:p>
        </w:tc>
        <w:tc>
          <w:tcPr>
            <w:tcW w:type="dxa" w:w="3135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End-to-end process design, simulation, and optimization</w:t>
            </w:r>
          </w:p>
        </w:tc>
        <w:tc>
          <w:tcPr>
            <w:tcW w:type="dxa" w:w="3135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All sectors</w:t>
            </w:r>
          </w:p>
        </w:tc>
      </w:tr>
    </w:tbl>
    <w:p>
      <w:pPr>
        <w:spacing w:before="40" w:after="40"/>
      </w:pP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Key Differentiators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Vertical Integration</w:t>
      </w:r>
      <w:r>
        <w:rPr>
          <w:rFonts w:ascii="Aeonik" w:hAnsi="Aeonik"/>
          <w:color w:val="263338"/>
          <w:sz w:val="20"/>
          <w:lang w:val="en-US"/>
        </w:rPr>
        <w:t>: Design, manufacture, install, and commission — all in-house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Thai Engineering Expertise</w:t>
      </w:r>
      <w:r>
        <w:rPr>
          <w:rFonts w:ascii="Aeonik" w:hAnsi="Aeonik"/>
          <w:color w:val="263338"/>
          <w:sz w:val="20"/>
          <w:lang w:val="en-US"/>
        </w:rPr>
        <w:t>: Local team with deep understanding of ASEAN industrial needs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Innovation Focus</w:t>
      </w:r>
      <w:r>
        <w:rPr>
          <w:rFonts w:ascii="Aeonik" w:hAnsi="Aeonik"/>
          <w:color w:val="263338"/>
          <w:sz w:val="20"/>
          <w:lang w:val="en-US"/>
        </w:rPr>
        <w:t>: Active R&amp;D in rare sugars (Allulose), functional ingredients, and green chemistry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Cost Efficiency</w:t>
      </w:r>
      <w:r>
        <w:rPr>
          <w:rFonts w:ascii="Aeonik" w:hAnsi="Aeonik"/>
          <w:color w:val="263338"/>
          <w:sz w:val="20"/>
          <w:lang w:val="en-US"/>
        </w:rPr>
        <w:t>: Thai manufacturing base with competitive pricing vs. European/Japanese OEMs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Financial Highlights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2351"/>
        <w:gridCol w:w="2351"/>
        <w:gridCol w:w="2351"/>
        <w:gridCol w:w="2351"/>
      </w:tblGrid>
      <w:tr>
        <w:trPr>
          <w:cantSplit/>
        </w:trPr>
        <w:tc>
          <w:tcPr>
            <w:tcW w:type="dxa" w:w="2351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Metric</w:t>
            </w:r>
          </w:p>
        </w:tc>
        <w:tc>
          <w:tcPr>
            <w:tcW w:type="dxa" w:w="2351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2024</w:t>
            </w:r>
          </w:p>
        </w:tc>
        <w:tc>
          <w:tcPr>
            <w:tcW w:type="dxa" w:w="2351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2025</w:t>
            </w:r>
          </w:p>
        </w:tc>
        <w:tc>
          <w:tcPr>
            <w:tcW w:type="dxa" w:w="2351"/>
            <w:shd w:fill="2978FF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b/>
                <w:color w:val="FFFFFF"/>
                <w:sz w:val="18"/>
                <w:lang w:val="en-US"/>
              </w:rPr>
              <w:t>2026 (Projected)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Revenue (THB M)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180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245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320</w:t>
            </w:r>
          </w:p>
        </w:tc>
      </w:tr>
      <w:tr>
        <w:trPr>
          <w:cantSplit/>
        </w:trPr>
        <w:tc>
          <w:tcPr>
            <w:tcW w:type="dxa" w:w="2351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Export Revenue %</w:t>
            </w:r>
          </w:p>
        </w:tc>
        <w:tc>
          <w:tcPr>
            <w:tcW w:type="dxa" w:w="2351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25%</w:t>
            </w:r>
          </w:p>
        </w:tc>
        <w:tc>
          <w:tcPr>
            <w:tcW w:type="dxa" w:w="2351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35%</w:t>
            </w:r>
          </w:p>
        </w:tc>
        <w:tc>
          <w:tcPr>
            <w:tcW w:type="dxa" w:w="2351"/>
            <w:shd w:fill="EFF2F3" w:val="clear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45%</w:t>
            </w:r>
          </w:p>
        </w:tc>
      </w:tr>
      <w:tr>
        <w:trPr>
          <w:cantSplit/>
        </w:trPr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R&amp;D Investment %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8%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10%</w:t>
            </w:r>
          </w:p>
        </w:tc>
        <w:tc>
          <w:tcPr>
            <w:tcW w:type="dxa" w:w="2351"/>
          </w:tcPr>
          <w:p>
            <w:pPr>
              <w:keepNext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12%</w:t>
            </w:r>
          </w:p>
        </w:tc>
      </w:tr>
      <w:tr>
        <w:trPr>
          <w:cantSplit/>
        </w:trPr>
        <w:tc>
          <w:tcPr>
            <w:tcW w:type="dxa" w:w="2351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Headcount</w:t>
            </w:r>
          </w:p>
        </w:tc>
        <w:tc>
          <w:tcPr>
            <w:tcW w:type="dxa" w:w="2351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45</w:t>
            </w:r>
          </w:p>
        </w:tc>
        <w:tc>
          <w:tcPr>
            <w:tcW w:type="dxa" w:w="2351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62</w:t>
            </w:r>
          </w:p>
        </w:tc>
        <w:tc>
          <w:tcPr>
            <w:tcW w:type="dxa" w:w="2351"/>
            <w:shd w:fill="EFF2F3" w:val="clear"/>
          </w:tcPr>
          <w:p>
            <w:pPr>
              <w:keepNext w:val="0"/>
              <w:keepLines/>
              <w:spacing w:before="40" w:after="40"/>
            </w:pPr>
            <w:r>
              <w:rPr>
                <w:rFonts w:ascii="Aeonik" w:hAnsi="Aeonik"/>
                <w:color w:val="263338"/>
                <w:sz w:val="18"/>
                <w:lang w:val="en-US"/>
              </w:rPr>
              <w:t>80</w:t>
            </w:r>
          </w:p>
        </w:tc>
      </w:tr>
    </w:tbl>
    <w:p>
      <w:pPr>
        <w:spacing w:before="40" w:after="40"/>
      </w:pPr>
    </w:p>
    <w:p>
      <w:pPr>
        <w:spacing w:before="160" w:after="160"/>
        <w:ind w:left="720" w:right="432"/>
        <w:pBdr>
          <w:left w:val="single" w:sz="18" w:space="8" w:color="2978FF"/>
        </w:pBdr>
        <w:shd w:fill="EBF0F7" w:val="clear"/>
      </w:pPr>
      <w:r>
        <w:rPr>
          <w:rFonts w:ascii="Aeonik" w:hAnsi="Aeonik"/>
          <w:b/>
          <w:i/>
          <w:color w:val="788F9C"/>
          <w:sz w:val="20"/>
          <w:lang w:val="en-US"/>
        </w:rPr>
        <w:t>Note</w:t>
      </w:r>
      <w:r>
        <w:rPr>
          <w:rFonts w:ascii="Aeonik" w:hAnsi="Aeonik"/>
          <w:i/>
          <w:color w:val="788F9C"/>
          <w:sz w:val="20"/>
          <w:lang w:val="en-US"/>
        </w:rPr>
        <w:t>: Financial figures are illustrative for this demo document.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Strategic Initiatives</w:t>
      </w:r>
    </w:p>
    <w:p>
      <w:pPr>
        <w:pStyle w:val="Heading3"/>
      </w:pPr>
      <w:r>
        <w:rPr>
          <w:rFonts w:ascii="Aeonik" w:hAnsi="Aeonik"/>
          <w:b/>
          <w:color w:val="2978FF"/>
          <w:sz w:val="24"/>
          <w:lang w:val="en-US"/>
        </w:rPr>
        <w:t>1. Rare Sugar Hub</w:t>
      </w:r>
    </w:p>
    <w:p>
      <w:pPr>
        <w:spacing w:before="40" w:after="100"/>
      </w:pPr>
      <w:r>
        <w:rPr>
          <w:rFonts w:ascii="Aeonik" w:hAnsi="Aeonik"/>
          <w:color w:val="263338"/>
          <w:sz w:val="20"/>
          <w:lang w:val="en-US"/>
        </w:rPr>
        <w:t>Thailand's first Allulose production facility — targeting US, EU, Japan, and Korea export markets. Leveraging Thai cassava supply chain and proprietary enzymatic conversion technology.</w:t>
      </w:r>
    </w:p>
    <w:p>
      <w:pPr>
        <w:pStyle w:val="Heading3"/>
      </w:pPr>
      <w:r>
        <w:rPr>
          <w:rFonts w:ascii="Aeonik" w:hAnsi="Aeonik"/>
          <w:b/>
          <w:color w:val="2978FF"/>
          <w:sz w:val="24"/>
          <w:lang w:val="en-US"/>
        </w:rPr>
        <w:t>2. ASEAN Expansion</w:t>
      </w:r>
    </w:p>
    <w:p>
      <w:pPr>
        <w:spacing w:before="40" w:after="100"/>
      </w:pPr>
      <w:r>
        <w:rPr>
          <w:rFonts w:ascii="Aeonik" w:hAnsi="Aeonik"/>
          <w:color w:val="263338"/>
          <w:sz w:val="20"/>
          <w:lang w:val="en-US"/>
        </w:rPr>
        <w:t>Establishing regional partnerships in Vietnam, Indonesia, and Philippines for water treatment solutions. Target: 3 new country offices by 2027.</w:t>
      </w:r>
    </w:p>
    <w:p>
      <w:pPr>
        <w:pStyle w:val="Heading3"/>
      </w:pPr>
      <w:r>
        <w:rPr>
          <w:rFonts w:ascii="Aeonik" w:hAnsi="Aeonik"/>
          <w:b/>
          <w:color w:val="2978FF"/>
          <w:sz w:val="24"/>
          <w:lang w:val="en-US"/>
        </w:rPr>
        <w:t>3. Green Process Innovation</w:t>
      </w:r>
    </w:p>
    <w:p>
      <w:pPr>
        <w:spacing w:before="40" w:after="100"/>
      </w:pPr>
      <w:r>
        <w:rPr>
          <w:rFonts w:ascii="Aeonik" w:hAnsi="Aeonik"/>
          <w:color w:val="263338"/>
          <w:sz w:val="20"/>
          <w:lang w:val="en-US"/>
        </w:rPr>
        <w:t>Developing low-energy separation processes using novel membrane materials. Goal: 30% reduction in energy consumption per unit of purified product by 2028.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/>
          <w:b/>
          <w:color w:val="263338"/>
          <w:sz w:val="30"/>
          <w:lang w:val="en-US"/>
        </w:rPr>
        <w:t>Contact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Website</w:t>
      </w:r>
      <w:r>
        <w:rPr>
          <w:rFonts w:ascii="Aeonik" w:hAnsi="Aeonik"/>
          <w:color w:val="263338"/>
          <w:sz w:val="20"/>
          <w:lang w:val="en-US"/>
        </w:rPr>
        <w:t>: ichita.co.th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Location</w:t>
      </w:r>
      <w:r>
        <w:rPr>
          <w:rFonts w:ascii="Aeonik" w:hAnsi="Aeonik"/>
          <w:color w:val="263338"/>
          <w:sz w:val="20"/>
          <w:lang w:val="en-US"/>
        </w:rPr>
        <w:t>: Chonburi, Thailand</w:t>
      </w:r>
    </w:p>
    <w:p>
      <w:pPr>
        <w:pStyle w:val="ListBullet"/>
        <w:spacing w:before="40" w:after="40"/>
      </w:pPr>
      <w:r>
        <w:rPr>
          <w:rFonts w:ascii="Aeonik" w:hAnsi="Aeonik"/>
          <w:b/>
          <w:color w:val="263338"/>
          <w:sz w:val="20"/>
          <w:lang w:val="en-US"/>
        </w:rPr>
        <w:t>Inquiries</w:t>
      </w:r>
      <w:r>
        <w:rPr>
          <w:rFonts w:ascii="Aeonik" w:hAnsi="Aeonik"/>
          <w:color w:val="263338"/>
          <w:sz w:val="20"/>
          <w:lang w:val="en-US"/>
        </w:rPr>
        <w:t>: info@ichita.co.th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2978FF"/>
      </w:pBdr>
    </w:pPr>
    <w:r>
      <w:drawing>
        <wp:inline xmlns:a="http://schemas.openxmlformats.org/drawingml/2006/main" xmlns:pic="http://schemas.openxmlformats.org/drawingml/2006/picture">
          <wp:extent cx="1371600" cy="381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hita_Logo-0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814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40"/>
    </w:pPr>
    <w:rPr>
      <w:rFonts w:ascii="Aeonik" w:hAnsi="Aeonik" w:cs="Bai Jamjuree" w:eastAsia="Bai Jamjuree"/>
      <w:color w:val="263338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63338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63338"/>
      <w:sz w:val="30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eonik" w:hAnsi="Aeonik" w:cs="Bai Jamjuree" w:eastAsia="Bai Jamjuree"/>
      <w:b/>
      <w:bCs/>
      <w:color w:val="2978FF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eonik" w:hAnsi="Aeonik" w:cs="Bai Jamjuree" w:eastAsia="Bai Jamjuree"/>
      <w:b/>
      <w:bCs/>
      <w:i/>
      <w:iCs/>
      <w:color w:val="2978FF"/>
      <w:sz w:val="21"/>
      <w:szCs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eonik" w:hAnsi="Aeonik"/>
      <w:color w:val="26333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