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Document Title</w:t>
        <w:br/>
      </w:r>
    </w:p>
    <w:p>
      <w:pPr>
        <w:pStyle w:val="Heading1"/>
      </w:pPr>
      <w:r>
        <w:t>Heading 1 — Section Title</w:t>
      </w:r>
    </w:p>
    <w:p>
      <w:r>
        <w:t>Body text example. Ichita standard document template with Aeonik font and professional formatting.</w:t>
      </w:r>
    </w:p>
    <w:p>
      <w:pPr>
        <w:pStyle w:val="Heading2"/>
      </w:pPr>
      <w:r>
        <w:t>Heading 2 — Subsection</w:t>
      </w:r>
    </w:p>
    <w:p>
      <w:r>
        <w:t>More body text demonstrating the standard paragraph formatting.</w:t>
      </w:r>
    </w:p>
    <w:p>
      <w:pPr>
        <w:pStyle w:val="Heading3"/>
      </w:pPr>
      <w:r>
        <w:t>Heading 3 — Detail</w:t>
      </w:r>
    </w:p>
    <w:p>
      <w:r>
        <w:t>Detail level content with standard spacing.</w:t>
      </w:r>
    </w:p>
    <w:p>
      <w:pPr>
        <w:pStyle w:val="Heading4"/>
      </w:pPr>
      <w:r>
        <w:t>Heading 4 — Minor</w:t>
      </w:r>
    </w:p>
    <w:p>
      <w:r>
        <w:t>Minor heading content.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3213"/>
        <w:gridCol w:w="3213"/>
        <w:gridCol w:w="3213"/>
      </w:tblGrid>
      <w:tr>
        <w:tc>
          <w:tcPr>
            <w:tcW w:type="dxa" w:w="3213"/>
            <w:shd w:fill="263338" w:val="clear"/>
          </w:tcPr>
          <w:p>
            <w:r>
              <w:rPr>
                <w:b/>
                <w:color w:val="FFFFFF"/>
              </w:rPr>
              <w:t>Property</w:t>
            </w:r>
          </w:p>
        </w:tc>
        <w:tc>
          <w:tcPr>
            <w:tcW w:type="dxa" w:w="3213"/>
            <w:shd w:fill="263338" w:val="clear"/>
          </w:tcPr>
          <w:p>
            <w:r>
              <w:rPr>
                <w:b/>
                <w:color w:val="FFFFFF"/>
              </w:rPr>
              <w:t>Value</w:t>
            </w:r>
          </w:p>
        </w:tc>
        <w:tc>
          <w:tcPr>
            <w:tcW w:type="dxa" w:w="3213"/>
            <w:shd w:fill="263338" w:val="clear"/>
          </w:tcPr>
          <w:p>
            <w:r>
              <w:rPr>
                <w:b/>
                <w:color w:val="FFFFFF"/>
              </w:rPr>
              <w:t>Notes</w:t>
            </w:r>
          </w:p>
        </w:tc>
      </w:tr>
      <w:tr>
        <w:tc>
          <w:tcPr>
            <w:tcW w:type="dxa" w:w="3213"/>
          </w:tcPr>
          <w:p>
            <w:r>
              <w:t>Font</w:t>
            </w:r>
          </w:p>
        </w:tc>
        <w:tc>
          <w:tcPr>
            <w:tcW w:type="dxa" w:w="3213"/>
          </w:tcPr>
          <w:p>
            <w:r>
              <w:t>Aeonik</w:t>
            </w:r>
          </w:p>
        </w:tc>
        <w:tc>
          <w:tcPr>
            <w:tcW w:type="dxa" w:w="3213"/>
          </w:tcPr>
          <w:p>
            <w:r>
              <w:t>Latin text</w:t>
            </w:r>
          </w:p>
        </w:tc>
      </w:tr>
      <w:tr>
        <w:tc>
          <w:tcPr>
            <w:tcW w:type="dxa" w:w="3213"/>
            <w:shd w:fill="EFF2F3" w:val="clear"/>
          </w:tcPr>
          <w:p>
            <w:r>
              <w:t>Thai Font</w:t>
            </w:r>
          </w:p>
        </w:tc>
        <w:tc>
          <w:tcPr>
            <w:tcW w:type="dxa" w:w="3213"/>
            <w:shd w:fill="EFF2F3" w:val="clear"/>
          </w:tcPr>
          <w:p>
            <w:r>
              <w:t>Bai Jamjuree</w:t>
            </w:r>
          </w:p>
        </w:tc>
        <w:tc>
          <w:tcPr>
            <w:tcW w:type="dxa" w:w="3213"/>
            <w:shd w:fill="EFF2F3" w:val="clear"/>
          </w:tcPr>
          <w:p>
            <w:r>
              <w:t>Scale 0.9x</w:t>
            </w:r>
          </w:p>
        </w:tc>
      </w:tr>
      <w:tr>
        <w:tc>
          <w:tcPr>
            <w:tcW w:type="dxa" w:w="3213"/>
          </w:tcPr>
          <w:p>
            <w:r>
              <w:t>Body Size</w:t>
            </w:r>
          </w:p>
        </w:tc>
        <w:tc>
          <w:tcPr>
            <w:tcW w:type="dxa" w:w="3213"/>
          </w:tcPr>
          <w:p>
            <w:r>
              <w:t>12pt</w:t>
            </w:r>
          </w:p>
        </w:tc>
        <w:tc>
          <w:tcPr>
            <w:tcW w:type="dxa" w:w="3213"/>
          </w:tcPr>
          <w:p>
            <w:r>
              <w:t>Standard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134" w:right="1134" w:bottom="1134" w:left="113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80"/>
      <w:jc w:val="left"/>
      <w:pBdr>
        <w:bottom w:val="single" w:sz="6" w:space="4" w:color="2978FF"/>
      </w:pBdr>
    </w:pPr>
    <w:r>
      <w:drawing>
        <wp:inline xmlns:a="http://schemas.openxmlformats.org/drawingml/2006/main" xmlns:pic="http://schemas.openxmlformats.org/drawingml/2006/picture">
          <wp:extent cx="1371600" cy="209159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ichita-logo-blac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71600" cy="209159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60" w:after="120"/>
    </w:pPr>
    <w:rPr>
      <w:rFonts w:ascii="Aeonik" w:hAnsi="Aeonik" w:cs="Bai Jamjuree" w:eastAsia="Bai Jamjuree"/>
      <w:color w:val="263338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60"/>
      <w:outlineLvl w:val="0"/>
    </w:pPr>
    <w:rPr>
      <w:rFonts w:asciiTheme="majorHAnsi" w:eastAsiaTheme="majorEastAsia" w:hAnsiTheme="majorHAnsi" w:cstheme="majorBidi" w:ascii="Aeonik" w:hAnsi="Aeonik" w:cs="Bai Jamjuree" w:eastAsia="Bai Jamjuree"/>
      <w:b/>
      <w:bCs/>
      <w:color w:val="263338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120"/>
      <w:outlineLvl w:val="1"/>
    </w:pPr>
    <w:rPr>
      <w:rFonts w:asciiTheme="majorHAnsi" w:eastAsiaTheme="majorEastAsia" w:hAnsiTheme="majorHAnsi" w:cstheme="majorBidi" w:ascii="Aeonik" w:hAnsi="Aeonik" w:cs="Bai Jamjuree" w:eastAsia="Bai Jamjuree"/>
      <w:b/>
      <w:bCs/>
      <w:color w:val="263338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20"/>
      <w:outlineLvl w:val="2"/>
    </w:pPr>
    <w:rPr>
      <w:rFonts w:asciiTheme="majorHAnsi" w:eastAsiaTheme="majorEastAsia" w:hAnsiTheme="majorHAnsi" w:cstheme="majorBidi" w:ascii="Aeonik" w:hAnsi="Aeonik" w:cs="Bai Jamjuree" w:eastAsia="Bai Jamjuree"/>
      <w:b/>
      <w:bCs/>
      <w:color w:val="2978FF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160" w:after="80"/>
      <w:outlineLvl w:val="3"/>
    </w:pPr>
    <w:rPr>
      <w:rFonts w:asciiTheme="majorHAnsi" w:eastAsiaTheme="majorEastAsia" w:hAnsiTheme="majorHAnsi" w:cstheme="majorBidi" w:ascii="Aeonik" w:hAnsi="Aeonik" w:cs="Bai Jamjuree" w:eastAsia="Bai Jamjuree"/>
      <w:b/>
      <w:bCs/>
      <w:i/>
      <w:iCs/>
      <w:color w:val="2978FF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  <w:jc w:val="center"/>
    </w:pPr>
    <w:rPr>
      <w:rFonts w:asciiTheme="majorHAnsi" w:eastAsiaTheme="majorEastAsia" w:hAnsiTheme="majorHAnsi" w:cstheme="majorBidi" w:ascii="Aeonik" w:hAnsi="Aeonik"/>
      <w:b/>
      <w:color w:val="263338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  <w:rPr>
      <w:rFonts w:ascii="Aeonik" w:hAnsi="Aeonik"/>
      <w:sz w:val="24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120" w:after="60"/>
    </w:pPr>
    <w:rPr>
      <w:rFonts w:ascii="Aeonik" w:hAnsi="Aeonik"/>
      <w:b/>
      <w:bCs/>
      <w:color w:val="788F9C"/>
      <w:sz w:val="21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