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SKATE Stream Deck Neo icons</w:t>
      </w:r>
    </w:p>
    <w:p>
      <w:r>
        <w:rPr>
          <w:i w:val="0"/>
        </w:rPr>
        <w:t xml:space="preserve">A hand-designed icon set for SKATE and the Spotter voice agent. Each key has a unique, color-coded glyph. Files live in </w:t>
      </w:r>
      <w:r>
        <w:rPr>
          <w:rFonts w:ascii="Consolas" w:hAnsi="Consolas"/>
        </w:rPr>
        <w:t>SKATE/streamdeck-neo-icons</w:t>
      </w:r>
      <w:r>
        <w:t xml:space="preserve"> as both .svg (vector) and .png (288×288).</w:t>
      </w:r>
    </w:p>
    <w:p>
      <w:pPr>
        <w:pStyle w:val="Heading1"/>
      </w:pPr>
      <w:r>
        <w:t>How a macro works</w:t>
      </w:r>
    </w:p>
    <w:p>
      <w:r>
        <w:t>Each stance key pre-prompts Spotter into a coaching stance and opens the microphone in one press. You talk, Spotter listens in that stance, then responds. The two touch points just start and stop the mic. Every key is a Stream Deck Hotkey action using the modifier stack Ctrl + Alt + Shift plus the listed key. The Spotter page must be open and focused for the stance keys to fire.</w:t>
      </w:r>
    </w:p>
    <w:p>
      <w:pPr>
        <w:pStyle w:val="Heading1"/>
      </w:pPr>
      <w:r>
        <w:t>Design system</w:t>
      </w:r>
    </w:p>
    <w:p>
      <w:pPr>
        <w:pStyle w:val="ListBullet"/>
      </w:pPr>
      <w:r>
        <w:t>Format: SVG (vector) for crisp scaling, plus matching 288×288 PNGs.</w:t>
      </w:r>
    </w:p>
    <w:p>
      <w:pPr>
        <w:pStyle w:val="ListBullet"/>
      </w:pPr>
      <w:r>
        <w:t>Look: white glyph on a color-coded rounded square, with a short label baked in.</w:t>
      </w:r>
    </w:p>
    <w:p>
      <w:pPr>
        <w:pStyle w:val="ListBullet"/>
      </w:pPr>
      <w:r>
        <w:t>Color: each macro family has its own hue so keys are distinct at a glance.</w:t>
      </w:r>
    </w:p>
    <w:p>
      <w:pPr>
        <w:pStyle w:val="ListBullet"/>
      </w:pPr>
      <w:r>
        <w:t>Brand: skate-mark and spotter reproduce the SKATE logo (A-frame on a skateboard).</w:t>
      </w:r>
    </w:p>
    <w:p>
      <w:pPr>
        <w:pStyle w:val="Heading1"/>
      </w:pPr>
      <w:r>
        <w:t>Talk controls (Neo touch points)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152"/>
            <w:shd w:val="clear" w:color="auto" w:fill="203040"/>
            <w:vAlign w:val="center"/>
          </w:tcPr>
          <w:p>
            <w:r>
              <w:rPr>
                <w:b/>
                <w:color w:val="FFFFFF"/>
              </w:rPr>
              <w:t>Icon</w:t>
            </w:r>
          </w:p>
        </w:tc>
        <w:tc>
          <w:tcPr>
            <w:tcW w:type="dxa" w:w="2448"/>
            <w:shd w:val="clear" w:color="auto" w:fill="203040"/>
            <w:vAlign w:val="center"/>
          </w:tcPr>
          <w:p>
            <w:r>
              <w:rPr>
                <w:b/>
                <w:color w:val="FFFFFF"/>
              </w:rPr>
              <w:t>Macro</w:t>
            </w:r>
          </w:p>
        </w:tc>
        <w:tc>
          <w:tcPr>
            <w:tcW w:type="dxa" w:w="4176"/>
            <w:shd w:val="clear" w:color="auto" w:fill="203040"/>
            <w:vAlign w:val="center"/>
          </w:tcPr>
          <w:p>
            <w:r>
              <w:rPr>
                <w:b/>
                <w:color w:val="FFFFFF"/>
              </w:rPr>
              <w:t>What it does</w:t>
            </w:r>
          </w:p>
        </w:tc>
        <w:tc>
          <w:tcPr>
            <w:tcW w:type="dxa" w:w="2304"/>
            <w:shd w:val="clear" w:color="auto" w:fill="203040"/>
            <w:vAlign w:val="center"/>
          </w:tcPr>
          <w:p>
            <w:r>
              <w:rPr>
                <w:b/>
                <w:color w:val="FFFFFF"/>
              </w:rPr>
              <w:t>Hotkey</w:t>
            </w:r>
          </w:p>
        </w:tc>
      </w:tr>
      <w:tr>
        <w:tc>
          <w:tcPr>
            <w:tcW w:type="dxa" w:w="1152"/>
            <w:vAlign w:val="center"/>
          </w:tcPr>
          <w:p>
            <w:pPr>
              <w:jc w:val="center"/>
            </w:pPr>
            <w:r>
              <w:drawing>
                <wp:inline xmlns:a="http://schemas.openxmlformats.org/drawingml/2006/main" xmlns:pic="http://schemas.openxmlformats.org/drawingml/2006/picture">
                  <wp:extent cx="502920" cy="502920"/>
                  <wp:docPr id="1" name="Picture 1"/>
                  <wp:cNvGraphicFramePr>
                    <a:graphicFrameLocks noChangeAspect="1"/>
                  </wp:cNvGraphicFramePr>
                  <a:graphic>
                    <a:graphicData uri="http://schemas.openxmlformats.org/drawingml/2006/picture">
                      <pic:pic>
                        <pic:nvPicPr>
                          <pic:cNvPr id="0" name="start-talking.png"/>
                          <pic:cNvPicPr/>
                        </pic:nvPicPr>
                        <pic:blipFill>
                          <a:blip r:embed="rId9"/>
                          <a:stretch>
                            <a:fillRect/>
                          </a:stretch>
                        </pic:blipFill>
                        <pic:spPr>
                          <a:xfrm>
                            <a:off x="0" y="0"/>
                            <a:ext cx="502920" cy="502920"/>
                          </a:xfrm>
                          <a:prstGeom prst="rect"/>
                        </pic:spPr>
                      </pic:pic>
                    </a:graphicData>
                  </a:graphic>
                </wp:inline>
              </w:drawing>
            </w:r>
          </w:p>
        </w:tc>
        <w:tc>
          <w:tcPr>
            <w:tcW w:type="dxa" w:w="2448"/>
            <w:vAlign w:val="center"/>
          </w:tcPr>
          <w:p>
            <w:r>
              <w:rPr>
                <w:b/>
              </w:rPr>
              <w:t>Start talking</w:t>
            </w:r>
          </w:p>
        </w:tc>
        <w:tc>
          <w:tcPr>
            <w:tcW w:type="dxa" w:w="4176"/>
            <w:vAlign w:val="center"/>
          </w:tcPr>
          <w:p>
            <w:r>
              <w:t>Open the mic in the current stance</w:t>
            </w:r>
          </w:p>
        </w:tc>
        <w:tc>
          <w:tcPr>
            <w:tcW w:type="dxa" w:w="2304"/>
            <w:vAlign w:val="center"/>
          </w:tcPr>
          <w:p>
            <w:r>
              <w:rPr>
                <w:sz w:val="16"/>
              </w:rPr>
              <w:t>Ctrl+Alt+Shift+</w:t>
            </w:r>
            <w:r>
              <w:rPr>
                <w:b/>
                <w:sz w:val="20"/>
              </w:rPr>
              <w:t>Space</w:t>
            </w:r>
          </w:p>
        </w:tc>
      </w:tr>
      <w:tr>
        <w:tc>
          <w:tcPr>
            <w:tcW w:type="dxa" w:w="1152"/>
            <w:vAlign w:val="center"/>
          </w:tcPr>
          <w:p>
            <w:pPr>
              <w:jc w:val="center"/>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stop-talking.png"/>
                          <pic:cNvPicPr/>
                        </pic:nvPicPr>
                        <pic:blipFill>
                          <a:blip r:embed="rId10"/>
                          <a:stretch>
                            <a:fillRect/>
                          </a:stretch>
                        </pic:blipFill>
                        <pic:spPr>
                          <a:xfrm>
                            <a:off x="0" y="0"/>
                            <a:ext cx="502920" cy="502920"/>
                          </a:xfrm>
                          <a:prstGeom prst="rect"/>
                        </pic:spPr>
                      </pic:pic>
                    </a:graphicData>
                  </a:graphic>
                </wp:inline>
              </w:drawing>
            </w:r>
          </w:p>
        </w:tc>
        <w:tc>
          <w:tcPr>
            <w:tcW w:type="dxa" w:w="2448"/>
            <w:vAlign w:val="center"/>
          </w:tcPr>
          <w:p>
            <w:r>
              <w:rPr>
                <w:b/>
              </w:rPr>
              <w:t>Stop talking</w:t>
            </w:r>
          </w:p>
        </w:tc>
        <w:tc>
          <w:tcPr>
            <w:tcW w:type="dxa" w:w="4176"/>
            <w:vAlign w:val="center"/>
          </w:tcPr>
          <w:p>
            <w:r>
              <w:t>Close the mic and send to Spotter</w:t>
            </w:r>
          </w:p>
        </w:tc>
        <w:tc>
          <w:tcPr>
            <w:tcW w:type="dxa" w:w="2304"/>
            <w:vAlign w:val="center"/>
          </w:tcPr>
          <w:p>
            <w:r>
              <w:rPr>
                <w:sz w:val="16"/>
              </w:rPr>
              <w:t>Ctrl+Alt+Shift+</w:t>
            </w:r>
            <w:r>
              <w:rPr>
                <w:b/>
                <w:sz w:val="20"/>
              </w:rPr>
              <w:t>X</w:t>
            </w:r>
          </w:p>
        </w:tc>
      </w:tr>
    </w:tbl>
    <w:p>
      <w:pPr>
        <w:pStyle w:val="Heading1"/>
      </w:pPr>
      <w:r>
        <w:t>Spotter stances (Neo keys)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152"/>
            <w:shd w:val="clear" w:color="auto" w:fill="203040"/>
            <w:vAlign w:val="center"/>
          </w:tcPr>
          <w:p>
            <w:r>
              <w:rPr>
                <w:b/>
                <w:color w:val="FFFFFF"/>
              </w:rPr>
              <w:t>Icon</w:t>
            </w:r>
          </w:p>
        </w:tc>
        <w:tc>
          <w:tcPr>
            <w:tcW w:type="dxa" w:w="2448"/>
            <w:shd w:val="clear" w:color="auto" w:fill="203040"/>
            <w:vAlign w:val="center"/>
          </w:tcPr>
          <w:p>
            <w:r>
              <w:rPr>
                <w:b/>
                <w:color w:val="FFFFFF"/>
              </w:rPr>
              <w:t>Macro</w:t>
            </w:r>
          </w:p>
        </w:tc>
        <w:tc>
          <w:tcPr>
            <w:tcW w:type="dxa" w:w="4176"/>
            <w:shd w:val="clear" w:color="auto" w:fill="203040"/>
            <w:vAlign w:val="center"/>
          </w:tcPr>
          <w:p>
            <w:r>
              <w:rPr>
                <w:b/>
                <w:color w:val="FFFFFF"/>
              </w:rPr>
              <w:t>What it does</w:t>
            </w:r>
          </w:p>
        </w:tc>
        <w:tc>
          <w:tcPr>
            <w:tcW w:type="dxa" w:w="2304"/>
            <w:shd w:val="clear" w:color="auto" w:fill="203040"/>
            <w:vAlign w:val="center"/>
          </w:tcPr>
          <w:p>
            <w:r>
              <w:rPr>
                <w:b/>
                <w:color w:val="FFFFFF"/>
              </w:rPr>
              <w:t>Hotkey</w:t>
            </w:r>
          </w:p>
        </w:tc>
      </w:tr>
      <w:tr>
        <w:tc>
          <w:tcPr>
            <w:tcW w:type="dxa" w:w="1152"/>
            <w:vAlign w:val="center"/>
          </w:tcPr>
          <w:p>
            <w:pPr>
              <w:jc w:val="center"/>
            </w:pPr>
            <w:r>
              <w:drawing>
                <wp:inline xmlns:a="http://schemas.openxmlformats.org/drawingml/2006/main" xmlns:pic="http://schemas.openxmlformats.org/drawingml/2006/picture">
                  <wp:extent cx="502920" cy="502920"/>
                  <wp:docPr id="3" name="Picture 3"/>
                  <wp:cNvGraphicFramePr>
                    <a:graphicFrameLocks noChangeAspect="1"/>
                  </wp:cNvGraphicFramePr>
                  <a:graphic>
                    <a:graphicData uri="http://schemas.openxmlformats.org/drawingml/2006/picture">
                      <pic:pic>
                        <pic:nvPicPr>
                          <pic:cNvPr id="0" name="prompt-observe.png"/>
                          <pic:cNvPicPr/>
                        </pic:nvPicPr>
                        <pic:blipFill>
                          <a:blip r:embed="rId11"/>
                          <a:stretch>
                            <a:fillRect/>
                          </a:stretch>
                        </pic:blipFill>
                        <pic:spPr>
                          <a:xfrm>
                            <a:off x="0" y="0"/>
                            <a:ext cx="502920" cy="502920"/>
                          </a:xfrm>
                          <a:prstGeom prst="rect"/>
                        </pic:spPr>
                      </pic:pic>
                    </a:graphicData>
                  </a:graphic>
                </wp:inline>
              </w:drawing>
            </w:r>
          </w:p>
        </w:tc>
        <w:tc>
          <w:tcPr>
            <w:tcW w:type="dxa" w:w="2448"/>
            <w:vAlign w:val="center"/>
          </w:tcPr>
          <w:p>
            <w:r>
              <w:rPr>
                <w:b/>
              </w:rPr>
              <w:t>Observe</w:t>
            </w:r>
          </w:p>
        </w:tc>
        <w:tc>
          <w:tcPr>
            <w:tcW w:type="dxa" w:w="4176"/>
            <w:vAlign w:val="center"/>
          </w:tcPr>
          <w:p>
            <w:r>
              <w:t>Capture what people do, say, feel, and work around</w:t>
            </w:r>
          </w:p>
        </w:tc>
        <w:tc>
          <w:tcPr>
            <w:tcW w:type="dxa" w:w="2304"/>
            <w:vAlign w:val="center"/>
          </w:tcPr>
          <w:p>
            <w:r>
              <w:rPr>
                <w:sz w:val="16"/>
              </w:rPr>
              <w:t>Ctrl+Alt+Shift+</w:t>
            </w:r>
            <w:r>
              <w:rPr>
                <w:b/>
                <w:sz w:val="20"/>
              </w:rPr>
              <w:t>O</w:t>
            </w:r>
          </w:p>
        </w:tc>
      </w:tr>
      <w:tr>
        <w:tc>
          <w:tcPr>
            <w:tcW w:type="dxa" w:w="1152"/>
            <w:vAlign w:val="center"/>
          </w:tcPr>
          <w:p>
            <w:pPr>
              <w:jc w:val="center"/>
            </w:pPr>
            <w:r>
              <w:drawing>
                <wp:inline xmlns:a="http://schemas.openxmlformats.org/drawingml/2006/main" xmlns:pic="http://schemas.openxmlformats.org/drawingml/2006/picture">
                  <wp:extent cx="502920" cy="502920"/>
                  <wp:docPr id="4" name="Picture 4"/>
                  <wp:cNvGraphicFramePr>
                    <a:graphicFrameLocks noChangeAspect="1"/>
                  </wp:cNvGraphicFramePr>
                  <a:graphic>
                    <a:graphicData uri="http://schemas.openxmlformats.org/drawingml/2006/picture">
                      <pic:pic>
                        <pic:nvPicPr>
                          <pic:cNvPr id="0" name="prompt-find-waste.png"/>
                          <pic:cNvPicPr/>
                        </pic:nvPicPr>
                        <pic:blipFill>
                          <a:blip r:embed="rId12"/>
                          <a:stretch>
                            <a:fillRect/>
                          </a:stretch>
                        </pic:blipFill>
                        <pic:spPr>
                          <a:xfrm>
                            <a:off x="0" y="0"/>
                            <a:ext cx="502920" cy="502920"/>
                          </a:xfrm>
                          <a:prstGeom prst="rect"/>
                        </pic:spPr>
                      </pic:pic>
                    </a:graphicData>
                  </a:graphic>
                </wp:inline>
              </w:drawing>
            </w:r>
          </w:p>
        </w:tc>
        <w:tc>
          <w:tcPr>
            <w:tcW w:type="dxa" w:w="2448"/>
            <w:vAlign w:val="center"/>
          </w:tcPr>
          <w:p>
            <w:r>
              <w:rPr>
                <w:b/>
              </w:rPr>
              <w:t>Find Waste</w:t>
            </w:r>
          </w:p>
        </w:tc>
        <w:tc>
          <w:tcPr>
            <w:tcW w:type="dxa" w:w="4176"/>
            <w:vAlign w:val="center"/>
          </w:tcPr>
          <w:p>
            <w:r>
              <w:t>Listen for delay, rework, handoffs, motion, waiting</w:t>
            </w:r>
          </w:p>
        </w:tc>
        <w:tc>
          <w:tcPr>
            <w:tcW w:type="dxa" w:w="2304"/>
            <w:vAlign w:val="center"/>
          </w:tcPr>
          <w:p>
            <w:r>
              <w:rPr>
                <w:sz w:val="16"/>
              </w:rPr>
              <w:t>Ctrl+Alt+Shift+</w:t>
            </w:r>
            <w:r>
              <w:rPr>
                <w:b/>
                <w:sz w:val="20"/>
              </w:rPr>
              <w:t>W</w:t>
            </w:r>
          </w:p>
        </w:tc>
      </w:tr>
      <w:tr>
        <w:tc>
          <w:tcPr>
            <w:tcW w:type="dxa" w:w="1152"/>
            <w:vAlign w:val="center"/>
          </w:tcPr>
          <w:p>
            <w:pPr>
              <w:jc w:val="center"/>
            </w:pPr>
            <w:r>
              <w:drawing>
                <wp:inline xmlns:a="http://schemas.openxmlformats.org/drawingml/2006/main" xmlns:pic="http://schemas.openxmlformats.org/drawingml/2006/picture">
                  <wp:extent cx="502920" cy="502920"/>
                  <wp:docPr id="5" name="Picture 5"/>
                  <wp:cNvGraphicFramePr>
                    <a:graphicFrameLocks noChangeAspect="1"/>
                  </wp:cNvGraphicFramePr>
                  <a:graphic>
                    <a:graphicData uri="http://schemas.openxmlformats.org/drawingml/2006/picture">
                      <pic:pic>
                        <pic:nvPicPr>
                          <pic:cNvPr id="0" name="prompt-five-whys.png"/>
                          <pic:cNvPicPr/>
                        </pic:nvPicPr>
                        <pic:blipFill>
                          <a:blip r:embed="rId13"/>
                          <a:stretch>
                            <a:fillRect/>
                          </a:stretch>
                        </pic:blipFill>
                        <pic:spPr>
                          <a:xfrm>
                            <a:off x="0" y="0"/>
                            <a:ext cx="502920" cy="502920"/>
                          </a:xfrm>
                          <a:prstGeom prst="rect"/>
                        </pic:spPr>
                      </pic:pic>
                    </a:graphicData>
                  </a:graphic>
                </wp:inline>
              </w:drawing>
            </w:r>
          </w:p>
        </w:tc>
        <w:tc>
          <w:tcPr>
            <w:tcW w:type="dxa" w:w="2448"/>
            <w:vAlign w:val="center"/>
          </w:tcPr>
          <w:p>
            <w:r>
              <w:rPr>
                <w:b/>
              </w:rPr>
              <w:t>5 Whys</w:t>
            </w:r>
          </w:p>
        </w:tc>
        <w:tc>
          <w:tcPr>
            <w:tcW w:type="dxa" w:w="4176"/>
            <w:vAlign w:val="center"/>
          </w:tcPr>
          <w:p>
            <w:r>
              <w:t>Drive a root-cause chain from the symptom</w:t>
            </w:r>
          </w:p>
        </w:tc>
        <w:tc>
          <w:tcPr>
            <w:tcW w:type="dxa" w:w="2304"/>
            <w:vAlign w:val="center"/>
          </w:tcPr>
          <w:p>
            <w:r>
              <w:rPr>
                <w:sz w:val="16"/>
              </w:rPr>
              <w:t>Ctrl+Alt+Shift+</w:t>
            </w:r>
            <w:r>
              <w:rPr>
                <w:b/>
                <w:sz w:val="20"/>
              </w:rPr>
              <w:t>Y</w:t>
            </w:r>
          </w:p>
        </w:tc>
      </w:tr>
      <w:tr>
        <w:tc>
          <w:tcPr>
            <w:tcW w:type="dxa" w:w="1152"/>
            <w:vAlign w:val="center"/>
          </w:tcPr>
          <w:p>
            <w:pPr>
              <w:jc w:val="center"/>
            </w:pPr>
            <w:r>
              <w:drawing>
                <wp:inline xmlns:a="http://schemas.openxmlformats.org/drawingml/2006/main" xmlns:pic="http://schemas.openxmlformats.org/drawingml/2006/picture">
                  <wp:extent cx="502920" cy="502920"/>
                  <wp:docPr id="6" name="Picture 6"/>
                  <wp:cNvGraphicFramePr>
                    <a:graphicFrameLocks noChangeAspect="1"/>
                  </wp:cNvGraphicFramePr>
                  <a:graphic>
                    <a:graphicData uri="http://schemas.openxmlformats.org/drawingml/2006/picture">
                      <pic:pic>
                        <pic:nvPicPr>
                          <pic:cNvPr id="0" name="prompt-hmw.png"/>
                          <pic:cNvPicPr/>
                        </pic:nvPicPr>
                        <pic:blipFill>
                          <a:blip r:embed="rId14"/>
                          <a:stretch>
                            <a:fillRect/>
                          </a:stretch>
                        </pic:blipFill>
                        <pic:spPr>
                          <a:xfrm>
                            <a:off x="0" y="0"/>
                            <a:ext cx="502920" cy="502920"/>
                          </a:xfrm>
                          <a:prstGeom prst="rect"/>
                        </pic:spPr>
                      </pic:pic>
                    </a:graphicData>
                  </a:graphic>
                </wp:inline>
              </w:drawing>
            </w:r>
          </w:p>
        </w:tc>
        <w:tc>
          <w:tcPr>
            <w:tcW w:type="dxa" w:w="2448"/>
            <w:vAlign w:val="center"/>
          </w:tcPr>
          <w:p>
            <w:r>
              <w:rPr>
                <w:b/>
              </w:rPr>
              <w:t>How Might We</w:t>
            </w:r>
          </w:p>
        </w:tc>
        <w:tc>
          <w:tcPr>
            <w:tcW w:type="dxa" w:w="4176"/>
            <w:vAlign w:val="center"/>
          </w:tcPr>
          <w:p>
            <w:r>
              <w:t>Reframe the pain into strong HMW prompts</w:t>
            </w:r>
          </w:p>
        </w:tc>
        <w:tc>
          <w:tcPr>
            <w:tcW w:type="dxa" w:w="2304"/>
            <w:vAlign w:val="center"/>
          </w:tcPr>
          <w:p>
            <w:r>
              <w:rPr>
                <w:sz w:val="16"/>
              </w:rPr>
              <w:t>Ctrl+Alt+Shift+</w:t>
            </w:r>
            <w:r>
              <w:rPr>
                <w:b/>
                <w:sz w:val="20"/>
              </w:rPr>
              <w:t>H</w:t>
            </w:r>
          </w:p>
        </w:tc>
      </w:tr>
      <w:tr>
        <w:tc>
          <w:tcPr>
            <w:tcW w:type="dxa" w:w="1152"/>
            <w:vAlign w:val="center"/>
          </w:tcPr>
          <w:p>
            <w:pPr>
              <w:jc w:val="center"/>
            </w:pPr>
            <w:r>
              <w:drawing>
                <wp:inline xmlns:a="http://schemas.openxmlformats.org/drawingml/2006/main" xmlns:pic="http://schemas.openxmlformats.org/drawingml/2006/picture">
                  <wp:extent cx="502920" cy="502920"/>
                  <wp:docPr id="7" name="Picture 7"/>
                  <wp:cNvGraphicFramePr>
                    <a:graphicFrameLocks noChangeAspect="1"/>
                  </wp:cNvGraphicFramePr>
                  <a:graphic>
                    <a:graphicData uri="http://schemas.openxmlformats.org/drawingml/2006/picture">
                      <pic:pic>
                        <pic:nvPicPr>
                          <pic:cNvPr id="0" name="prompt-process-map.png"/>
                          <pic:cNvPicPr/>
                        </pic:nvPicPr>
                        <pic:blipFill>
                          <a:blip r:embed="rId15"/>
                          <a:stretch>
                            <a:fillRect/>
                          </a:stretch>
                        </pic:blipFill>
                        <pic:spPr>
                          <a:xfrm>
                            <a:off x="0" y="0"/>
                            <a:ext cx="502920" cy="502920"/>
                          </a:xfrm>
                          <a:prstGeom prst="rect"/>
                        </pic:spPr>
                      </pic:pic>
                    </a:graphicData>
                  </a:graphic>
                </wp:inline>
              </w:drawing>
            </w:r>
          </w:p>
        </w:tc>
        <w:tc>
          <w:tcPr>
            <w:tcW w:type="dxa" w:w="2448"/>
            <w:vAlign w:val="center"/>
          </w:tcPr>
          <w:p>
            <w:r>
              <w:rPr>
                <w:b/>
              </w:rPr>
              <w:t>Map Flow</w:t>
            </w:r>
          </w:p>
        </w:tc>
        <w:tc>
          <w:tcPr>
            <w:tcW w:type="dxa" w:w="4176"/>
            <w:vAlign w:val="center"/>
          </w:tcPr>
          <w:p>
            <w:r>
              <w:t>Turn the spoken flow into trigger, handoffs, queues</w:t>
            </w:r>
          </w:p>
        </w:tc>
        <w:tc>
          <w:tcPr>
            <w:tcW w:type="dxa" w:w="2304"/>
            <w:vAlign w:val="center"/>
          </w:tcPr>
          <w:p>
            <w:r>
              <w:rPr>
                <w:sz w:val="16"/>
              </w:rPr>
              <w:t>Ctrl+Alt+Shift+</w:t>
            </w:r>
            <w:r>
              <w:rPr>
                <w:b/>
                <w:sz w:val="20"/>
              </w:rPr>
              <w:t>M</w:t>
            </w:r>
          </w:p>
        </w:tc>
      </w:tr>
      <w:tr>
        <w:tc>
          <w:tcPr>
            <w:tcW w:type="dxa" w:w="1152"/>
            <w:vAlign w:val="center"/>
          </w:tcPr>
          <w:p>
            <w:pPr>
              <w:jc w:val="center"/>
            </w:pPr>
            <w:r>
              <w:drawing>
                <wp:inline xmlns:a="http://schemas.openxmlformats.org/drawingml/2006/main" xmlns:pic="http://schemas.openxmlformats.org/drawingml/2006/picture">
                  <wp:extent cx="502920" cy="502920"/>
                  <wp:docPr id="8" name="Picture 8"/>
                  <wp:cNvGraphicFramePr>
                    <a:graphicFrameLocks noChangeAspect="1"/>
                  </wp:cNvGraphicFramePr>
                  <a:graphic>
                    <a:graphicData uri="http://schemas.openxmlformats.org/drawingml/2006/picture">
                      <pic:pic>
                        <pic:nvPicPr>
                          <pic:cNvPr id="0" name="prompt-frame-challenge.png"/>
                          <pic:cNvPicPr/>
                        </pic:nvPicPr>
                        <pic:blipFill>
                          <a:blip r:embed="rId16"/>
                          <a:stretch>
                            <a:fillRect/>
                          </a:stretch>
                        </pic:blipFill>
                        <pic:spPr>
                          <a:xfrm>
                            <a:off x="0" y="0"/>
                            <a:ext cx="502920" cy="502920"/>
                          </a:xfrm>
                          <a:prstGeom prst="rect"/>
                        </pic:spPr>
                      </pic:pic>
                    </a:graphicData>
                  </a:graphic>
                </wp:inline>
              </w:drawing>
            </w:r>
          </w:p>
        </w:tc>
        <w:tc>
          <w:tcPr>
            <w:tcW w:type="dxa" w:w="2448"/>
            <w:vAlign w:val="center"/>
          </w:tcPr>
          <w:p>
            <w:r>
              <w:rPr>
                <w:b/>
              </w:rPr>
              <w:t>Frame Challenge</w:t>
            </w:r>
          </w:p>
        </w:tc>
        <w:tc>
          <w:tcPr>
            <w:tcW w:type="dxa" w:w="4176"/>
            <w:vAlign w:val="center"/>
          </w:tcPr>
          <w:p>
            <w:r>
              <w:t>Sharpen a raw pain into a clear problem statement</w:t>
            </w:r>
          </w:p>
        </w:tc>
        <w:tc>
          <w:tcPr>
            <w:tcW w:type="dxa" w:w="2304"/>
            <w:vAlign w:val="center"/>
          </w:tcPr>
          <w:p>
            <w:r>
              <w:rPr>
                <w:sz w:val="16"/>
              </w:rPr>
              <w:t>Ctrl+Alt+Shift+</w:t>
            </w:r>
            <w:r>
              <w:rPr>
                <w:b/>
                <w:sz w:val="20"/>
              </w:rPr>
              <w:t>F</w:t>
            </w:r>
          </w:p>
        </w:tc>
      </w:tr>
      <w:tr>
        <w:tc>
          <w:tcPr>
            <w:tcW w:type="dxa" w:w="1152"/>
            <w:vAlign w:val="center"/>
          </w:tcPr>
          <w:p>
            <w:pPr>
              <w:jc w:val="center"/>
            </w:pPr>
            <w:r>
              <w:drawing>
                <wp:inline xmlns:a="http://schemas.openxmlformats.org/drawingml/2006/main" xmlns:pic="http://schemas.openxmlformats.org/drawingml/2006/picture">
                  <wp:extent cx="502920" cy="502920"/>
                  <wp:docPr id="9" name="Picture 9"/>
                  <wp:cNvGraphicFramePr>
                    <a:graphicFrameLocks noChangeAspect="1"/>
                  </wp:cNvGraphicFramePr>
                  <a:graphic>
                    <a:graphicData uri="http://schemas.openxmlformats.org/drawingml/2006/picture">
                      <pic:pic>
                        <pic:nvPicPr>
                          <pic:cNvPr id="0" name="prompt-synthesize-notes.png"/>
                          <pic:cNvPicPr/>
                        </pic:nvPicPr>
                        <pic:blipFill>
                          <a:blip r:embed="rId17"/>
                          <a:stretch>
                            <a:fillRect/>
                          </a:stretch>
                        </pic:blipFill>
                        <pic:spPr>
                          <a:xfrm>
                            <a:off x="0" y="0"/>
                            <a:ext cx="502920" cy="502920"/>
                          </a:xfrm>
                          <a:prstGeom prst="rect"/>
                        </pic:spPr>
                      </pic:pic>
                    </a:graphicData>
                  </a:graphic>
                </wp:inline>
              </w:drawing>
            </w:r>
          </w:p>
        </w:tc>
        <w:tc>
          <w:tcPr>
            <w:tcW w:type="dxa" w:w="2448"/>
            <w:vAlign w:val="center"/>
          </w:tcPr>
          <w:p>
            <w:r>
              <w:rPr>
                <w:b/>
              </w:rPr>
              <w:t>Synthesize</w:t>
            </w:r>
          </w:p>
        </w:tc>
        <w:tc>
          <w:tcPr>
            <w:tcW w:type="dxa" w:w="4176"/>
            <w:vAlign w:val="center"/>
          </w:tcPr>
          <w:p>
            <w:r>
              <w:t>Connect patterns across the session's notes</w:t>
            </w:r>
          </w:p>
        </w:tc>
        <w:tc>
          <w:tcPr>
            <w:tcW w:type="dxa" w:w="2304"/>
            <w:vAlign w:val="center"/>
          </w:tcPr>
          <w:p>
            <w:r>
              <w:rPr>
                <w:sz w:val="16"/>
              </w:rPr>
              <w:t>Ctrl+Alt+Shift+</w:t>
            </w:r>
            <w:r>
              <w:rPr>
                <w:b/>
                <w:sz w:val="20"/>
              </w:rPr>
              <w:t>Z</w:t>
            </w:r>
          </w:p>
        </w:tc>
      </w:tr>
      <w:tr>
        <w:tc>
          <w:tcPr>
            <w:tcW w:type="dxa" w:w="1152"/>
            <w:vAlign w:val="center"/>
          </w:tcPr>
          <w:p>
            <w:pPr>
              <w:jc w:val="center"/>
            </w:pPr>
            <w:r>
              <w:drawing>
                <wp:inline xmlns:a="http://schemas.openxmlformats.org/drawingml/2006/main" xmlns:pic="http://schemas.openxmlformats.org/drawingml/2006/picture">
                  <wp:extent cx="502920" cy="502920"/>
                  <wp:docPr id="10" name="Picture 10"/>
                  <wp:cNvGraphicFramePr>
                    <a:graphicFrameLocks noChangeAspect="1"/>
                  </wp:cNvGraphicFramePr>
                  <a:graphic>
                    <a:graphicData uri="http://schemas.openxmlformats.org/drawingml/2006/picture">
                      <pic:pic>
                        <pic:nvPicPr>
                          <pic:cNvPr id="0" name="prompt-executive-readout.png"/>
                          <pic:cNvPicPr/>
                        </pic:nvPicPr>
                        <pic:blipFill>
                          <a:blip r:embed="rId18"/>
                          <a:stretch>
                            <a:fillRect/>
                          </a:stretch>
                        </pic:blipFill>
                        <pic:spPr>
                          <a:xfrm>
                            <a:off x="0" y="0"/>
                            <a:ext cx="502920" cy="502920"/>
                          </a:xfrm>
                          <a:prstGeom prst="rect"/>
                        </pic:spPr>
                      </pic:pic>
                    </a:graphicData>
                  </a:graphic>
                </wp:inline>
              </w:drawing>
            </w:r>
          </w:p>
        </w:tc>
        <w:tc>
          <w:tcPr>
            <w:tcW w:type="dxa" w:w="2448"/>
            <w:vAlign w:val="center"/>
          </w:tcPr>
          <w:p>
            <w:r>
              <w:rPr>
                <w:b/>
              </w:rPr>
              <w:t>Executive Readout</w:t>
            </w:r>
          </w:p>
        </w:tc>
        <w:tc>
          <w:tcPr>
            <w:tcW w:type="dxa" w:w="4176"/>
            <w:vAlign w:val="center"/>
          </w:tcPr>
          <w:p>
            <w:r>
              <w:t>Turn the moment into an exec-ready insight + next step</w:t>
            </w:r>
          </w:p>
        </w:tc>
        <w:tc>
          <w:tcPr>
            <w:tcW w:type="dxa" w:w="2304"/>
            <w:vAlign w:val="center"/>
          </w:tcPr>
          <w:p>
            <w:r>
              <w:rPr>
                <w:sz w:val="16"/>
              </w:rPr>
              <w:t>Ctrl+Alt+Shift+</w:t>
            </w:r>
            <w:r>
              <w:rPr>
                <w:b/>
                <w:sz w:val="20"/>
              </w:rPr>
              <w:t>R</w:t>
            </w:r>
          </w:p>
        </w:tc>
      </w:tr>
      <w:tr>
        <w:tc>
          <w:tcPr>
            <w:tcW w:type="dxa" w:w="1152"/>
            <w:vAlign w:val="center"/>
          </w:tcPr>
          <w:p>
            <w:pPr>
              <w:jc w:val="center"/>
            </w:pPr>
            <w:r>
              <w:drawing>
                <wp:inline xmlns:a="http://schemas.openxmlformats.org/drawingml/2006/main" xmlns:pic="http://schemas.openxmlformats.org/drawingml/2006/picture">
                  <wp:extent cx="502920" cy="502920"/>
                  <wp:docPr id="11" name="Picture 11"/>
                  <wp:cNvGraphicFramePr>
                    <a:graphicFrameLocks noChangeAspect="1"/>
                  </wp:cNvGraphicFramePr>
                  <a:graphic>
                    <a:graphicData uri="http://schemas.openxmlformats.org/drawingml/2006/picture">
                      <pic:pic>
                        <pic:nvPicPr>
                          <pic:cNvPr id="0" name="prompt-kaizen.png"/>
                          <pic:cNvPicPr/>
                        </pic:nvPicPr>
                        <pic:blipFill>
                          <a:blip r:embed="rId19"/>
                          <a:stretch>
                            <a:fillRect/>
                          </a:stretch>
                        </pic:blipFill>
                        <pic:spPr>
                          <a:xfrm>
                            <a:off x="0" y="0"/>
                            <a:ext cx="502920" cy="502920"/>
                          </a:xfrm>
                          <a:prstGeom prst="rect"/>
                        </pic:spPr>
                      </pic:pic>
                    </a:graphicData>
                  </a:graphic>
                </wp:inline>
              </w:drawing>
            </w:r>
          </w:p>
        </w:tc>
        <w:tc>
          <w:tcPr>
            <w:tcW w:type="dxa" w:w="2448"/>
            <w:vAlign w:val="center"/>
          </w:tcPr>
          <w:p>
            <w:r>
              <w:rPr>
                <w:b/>
              </w:rPr>
              <w:t>Kaizen</w:t>
            </w:r>
          </w:p>
        </w:tc>
        <w:tc>
          <w:tcPr>
            <w:tcW w:type="dxa" w:w="4176"/>
            <w:vAlign w:val="center"/>
          </w:tcPr>
          <w:p>
            <w:r>
              <w:t>Current state, waste, quick wins, next experiment</w:t>
            </w:r>
          </w:p>
        </w:tc>
        <w:tc>
          <w:tcPr>
            <w:tcW w:type="dxa" w:w="2304"/>
            <w:vAlign w:val="center"/>
          </w:tcPr>
          <w:p>
            <w:r>
              <w:rPr>
                <w:sz w:val="16"/>
              </w:rPr>
              <w:t>Ctrl+Alt+Shift+</w:t>
            </w:r>
            <w:r>
              <w:rPr>
                <w:b/>
                <w:sz w:val="20"/>
              </w:rPr>
              <w:t>K</w:t>
            </w:r>
          </w:p>
        </w:tc>
      </w:tr>
      <w:tr>
        <w:tc>
          <w:tcPr>
            <w:tcW w:type="dxa" w:w="1152"/>
            <w:vAlign w:val="center"/>
          </w:tcPr>
          <w:p>
            <w:pPr>
              <w:jc w:val="center"/>
            </w:pPr>
            <w:r>
              <w:drawing>
                <wp:inline xmlns:a="http://schemas.openxmlformats.org/drawingml/2006/main" xmlns:pic="http://schemas.openxmlformats.org/drawingml/2006/picture">
                  <wp:extent cx="502920" cy="502920"/>
                  <wp:docPr id="12" name="Picture 12"/>
                  <wp:cNvGraphicFramePr>
                    <a:graphicFrameLocks noChangeAspect="1"/>
                  </wp:cNvGraphicFramePr>
                  <a:graphic>
                    <a:graphicData uri="http://schemas.openxmlformats.org/drawingml/2006/picture">
                      <pic:pic>
                        <pic:nvPicPr>
                          <pic:cNvPr id="0" name="prompt-next-experiment.png"/>
                          <pic:cNvPicPr/>
                        </pic:nvPicPr>
                        <pic:blipFill>
                          <a:blip r:embed="rId20"/>
                          <a:stretch>
                            <a:fillRect/>
                          </a:stretch>
                        </pic:blipFill>
                        <pic:spPr>
                          <a:xfrm>
                            <a:off x="0" y="0"/>
                            <a:ext cx="502920" cy="502920"/>
                          </a:xfrm>
                          <a:prstGeom prst="rect"/>
                        </pic:spPr>
                      </pic:pic>
                    </a:graphicData>
                  </a:graphic>
                </wp:inline>
              </w:drawing>
            </w:r>
          </w:p>
        </w:tc>
        <w:tc>
          <w:tcPr>
            <w:tcW w:type="dxa" w:w="2448"/>
            <w:vAlign w:val="center"/>
          </w:tcPr>
          <w:p>
            <w:r>
              <w:rPr>
                <w:b/>
              </w:rPr>
              <w:t>Next Experiment</w:t>
            </w:r>
          </w:p>
        </w:tc>
        <w:tc>
          <w:tcPr>
            <w:tcW w:type="dxa" w:w="4176"/>
            <w:vAlign w:val="center"/>
          </w:tcPr>
          <w:p>
            <w:r>
              <w:t>Smallest useful test, owner, metric, learning goal</w:t>
            </w:r>
          </w:p>
        </w:tc>
        <w:tc>
          <w:tcPr>
            <w:tcW w:type="dxa" w:w="2304"/>
            <w:vAlign w:val="center"/>
          </w:tcPr>
          <w:p>
            <w:r>
              <w:rPr>
                <w:sz w:val="16"/>
              </w:rPr>
              <w:t>Ctrl+Alt+Shift+</w:t>
            </w:r>
            <w:r>
              <w:rPr>
                <w:b/>
                <w:sz w:val="20"/>
              </w:rPr>
              <w:t>T</w:t>
            </w:r>
          </w:p>
        </w:tc>
      </w:tr>
      <w:tr>
        <w:tc>
          <w:tcPr>
            <w:tcW w:type="dxa" w:w="1152"/>
            <w:vAlign w:val="center"/>
          </w:tcPr>
          <w:p>
            <w:pPr>
              <w:jc w:val="center"/>
            </w:pPr>
            <w:r>
              <w:drawing>
                <wp:inline xmlns:a="http://schemas.openxmlformats.org/drawingml/2006/main" xmlns:pic="http://schemas.openxmlformats.org/drawingml/2006/picture">
                  <wp:extent cx="502920" cy="502920"/>
                  <wp:docPr id="13" name="Picture 13"/>
                  <wp:cNvGraphicFramePr>
                    <a:graphicFrameLocks noChangeAspect="1"/>
                  </wp:cNvGraphicFramePr>
                  <a:graphic>
                    <a:graphicData uri="http://schemas.openxmlformats.org/drawingml/2006/picture">
                      <pic:pic>
                        <pic:nvPicPr>
                          <pic:cNvPr id="0" name="prompt-ask-spotter.png"/>
                          <pic:cNvPicPr/>
                        </pic:nvPicPr>
                        <pic:blipFill>
                          <a:blip r:embed="rId21"/>
                          <a:stretch>
                            <a:fillRect/>
                          </a:stretch>
                        </pic:blipFill>
                        <pic:spPr>
                          <a:xfrm>
                            <a:off x="0" y="0"/>
                            <a:ext cx="502920" cy="502920"/>
                          </a:xfrm>
                          <a:prstGeom prst="rect"/>
                        </pic:spPr>
                      </pic:pic>
                    </a:graphicData>
                  </a:graphic>
                </wp:inline>
              </w:drawing>
            </w:r>
          </w:p>
        </w:tc>
        <w:tc>
          <w:tcPr>
            <w:tcW w:type="dxa" w:w="2448"/>
            <w:vAlign w:val="center"/>
          </w:tcPr>
          <w:p>
            <w:r>
              <w:rPr>
                <w:b/>
              </w:rPr>
              <w:t>Ask Spotter</w:t>
            </w:r>
          </w:p>
        </w:tc>
        <w:tc>
          <w:tcPr>
            <w:tcW w:type="dxa" w:w="4176"/>
            <w:vAlign w:val="center"/>
          </w:tcPr>
          <w:p>
            <w:r>
              <w:t>Free question to the coach</w:t>
            </w:r>
          </w:p>
        </w:tc>
        <w:tc>
          <w:tcPr>
            <w:tcW w:type="dxa" w:w="2304"/>
            <w:vAlign w:val="center"/>
          </w:tcPr>
          <w:p>
            <w:r>
              <w:rPr>
                <w:sz w:val="16"/>
              </w:rPr>
              <w:t>Ctrl+Alt+Shift+</w:t>
            </w:r>
            <w:r>
              <w:rPr>
                <w:b/>
                <w:sz w:val="20"/>
              </w:rPr>
              <w:t>Q</w:t>
            </w:r>
          </w:p>
        </w:tc>
      </w:tr>
    </w:tbl>
    <w:p>
      <w:pPr>
        <w:pStyle w:val="Heading1"/>
      </w:pPr>
      <w:r>
        <w:t>Navigation / brand</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152"/>
            <w:shd w:val="clear" w:color="auto" w:fill="203040"/>
            <w:vAlign w:val="center"/>
          </w:tcPr>
          <w:p>
            <w:r>
              <w:rPr>
                <w:b/>
                <w:color w:val="FFFFFF"/>
              </w:rPr>
              <w:t>Icon</w:t>
            </w:r>
          </w:p>
        </w:tc>
        <w:tc>
          <w:tcPr>
            <w:tcW w:type="dxa" w:w="2448"/>
            <w:shd w:val="clear" w:color="auto" w:fill="203040"/>
            <w:vAlign w:val="center"/>
          </w:tcPr>
          <w:p>
            <w:r>
              <w:rPr>
                <w:b/>
                <w:color w:val="FFFFFF"/>
              </w:rPr>
              <w:t>Macro</w:t>
            </w:r>
          </w:p>
        </w:tc>
        <w:tc>
          <w:tcPr>
            <w:tcW w:type="dxa" w:w="4176"/>
            <w:shd w:val="clear" w:color="auto" w:fill="203040"/>
            <w:vAlign w:val="center"/>
          </w:tcPr>
          <w:p>
            <w:r>
              <w:rPr>
                <w:b/>
                <w:color w:val="FFFFFF"/>
              </w:rPr>
              <w:t>What it does</w:t>
            </w:r>
          </w:p>
        </w:tc>
        <w:tc>
          <w:tcPr>
            <w:tcW w:type="dxa" w:w="2304"/>
            <w:shd w:val="clear" w:color="auto" w:fill="203040"/>
            <w:vAlign w:val="center"/>
          </w:tcPr>
          <w:p>
            <w:r>
              <w:rPr>
                <w:b/>
                <w:color w:val="FFFFFF"/>
              </w:rPr>
              <w:t>Hotkey</w:t>
            </w:r>
          </w:p>
        </w:tc>
      </w:tr>
      <w:tr>
        <w:tc>
          <w:tcPr>
            <w:tcW w:type="dxa" w:w="1152"/>
            <w:vAlign w:val="center"/>
          </w:tcPr>
          <w:p>
            <w:pPr>
              <w:jc w:val="center"/>
            </w:pPr>
            <w:r>
              <w:drawing>
                <wp:inline xmlns:a="http://schemas.openxmlformats.org/drawingml/2006/main" xmlns:pic="http://schemas.openxmlformats.org/drawingml/2006/picture">
                  <wp:extent cx="502920" cy="502920"/>
                  <wp:docPr id="14" name="Picture 14"/>
                  <wp:cNvGraphicFramePr>
                    <a:graphicFrameLocks noChangeAspect="1"/>
                  </wp:cNvGraphicFramePr>
                  <a:graphic>
                    <a:graphicData uri="http://schemas.openxmlformats.org/drawingml/2006/picture">
                      <pic:pic>
                        <pic:nvPicPr>
                          <pic:cNvPr id="0" name="spotter.png"/>
                          <pic:cNvPicPr/>
                        </pic:nvPicPr>
                        <pic:blipFill>
                          <a:blip r:embed="rId22"/>
                          <a:stretch>
                            <a:fillRect/>
                          </a:stretch>
                        </pic:blipFill>
                        <pic:spPr>
                          <a:xfrm>
                            <a:off x="0" y="0"/>
                            <a:ext cx="502920" cy="502920"/>
                          </a:xfrm>
                          <a:prstGeom prst="rect"/>
                        </pic:spPr>
                      </pic:pic>
                    </a:graphicData>
                  </a:graphic>
                </wp:inline>
              </w:drawing>
            </w:r>
          </w:p>
        </w:tc>
        <w:tc>
          <w:tcPr>
            <w:tcW w:type="dxa" w:w="2448"/>
            <w:vAlign w:val="center"/>
          </w:tcPr>
          <w:p>
            <w:r>
              <w:rPr>
                <w:b/>
              </w:rPr>
              <w:t>Open Spotter</w:t>
            </w:r>
          </w:p>
        </w:tc>
        <w:tc>
          <w:tcPr>
            <w:tcW w:type="dxa" w:w="4176"/>
            <w:vAlign w:val="center"/>
          </w:tcPr>
          <w:p>
            <w:r>
              <w:t>Jump to the Spotter page</w:t>
            </w:r>
          </w:p>
        </w:tc>
        <w:tc>
          <w:tcPr>
            <w:tcW w:type="dxa" w:w="2304"/>
            <w:vAlign w:val="center"/>
          </w:tcPr>
          <w:p>
            <w:r>
              <w:rPr>
                <w:sz w:val="16"/>
              </w:rPr>
              <w:t>Ctrl+Alt+Shift+</w:t>
            </w:r>
            <w:r>
              <w:rPr>
                <w:b/>
                <w:sz w:val="20"/>
              </w:rPr>
              <w:t>P</w:t>
            </w:r>
          </w:p>
        </w:tc>
      </w:tr>
      <w:tr>
        <w:tc>
          <w:tcPr>
            <w:tcW w:type="dxa" w:w="1152"/>
            <w:vAlign w:val="center"/>
          </w:tcPr>
          <w:p>
            <w:pPr>
              <w:jc w:val="center"/>
            </w:pPr>
            <w:r>
              <w:drawing>
                <wp:inline xmlns:a="http://schemas.openxmlformats.org/drawingml/2006/main" xmlns:pic="http://schemas.openxmlformats.org/drawingml/2006/picture">
                  <wp:extent cx="502920" cy="502920"/>
                  <wp:docPr id="15" name="Picture 15"/>
                  <wp:cNvGraphicFramePr>
                    <a:graphicFrameLocks noChangeAspect="1"/>
                  </wp:cNvGraphicFramePr>
                  <a:graphic>
                    <a:graphicData uri="http://schemas.openxmlformats.org/drawingml/2006/picture">
                      <pic:pic>
                        <pic:nvPicPr>
                          <pic:cNvPr id="0" name="skate-mark.png"/>
                          <pic:cNvPicPr/>
                        </pic:nvPicPr>
                        <pic:blipFill>
                          <a:blip r:embed="rId23"/>
                          <a:stretch>
                            <a:fillRect/>
                          </a:stretch>
                        </pic:blipFill>
                        <pic:spPr>
                          <a:xfrm>
                            <a:off x="0" y="0"/>
                            <a:ext cx="502920" cy="502920"/>
                          </a:xfrm>
                          <a:prstGeom prst="rect"/>
                        </pic:spPr>
                      </pic:pic>
                    </a:graphicData>
                  </a:graphic>
                </wp:inline>
              </w:drawing>
            </w:r>
          </w:p>
        </w:tc>
        <w:tc>
          <w:tcPr>
            <w:tcW w:type="dxa" w:w="2448"/>
            <w:vAlign w:val="center"/>
          </w:tcPr>
          <w:p>
            <w:r>
              <w:rPr>
                <w:b/>
              </w:rPr>
              <w:t>About SKATE</w:t>
            </w:r>
          </w:p>
        </w:tc>
        <w:tc>
          <w:tcPr>
            <w:tcW w:type="dxa" w:w="4176"/>
            <w:vAlign w:val="center"/>
          </w:tcPr>
          <w:p>
            <w:r>
              <w:t>Brand mark / open About</w:t>
            </w:r>
          </w:p>
        </w:tc>
        <w:tc>
          <w:tcPr>
            <w:tcW w:type="dxa" w:w="2304"/>
            <w:vAlign w:val="center"/>
          </w:tcPr>
          <w:p>
            <w:r>
              <w:rPr>
                <w:sz w:val="16"/>
              </w:rPr>
              <w:t>Ctrl+Alt+Shift+</w:t>
            </w:r>
            <w:r>
              <w:rPr>
                <w:b/>
                <w:sz w:val="20"/>
              </w:rPr>
              <w:t>A</w:t>
            </w:r>
          </w:p>
        </w:tc>
      </w:tr>
      <w:tr>
        <w:tc>
          <w:tcPr>
            <w:tcW w:type="dxa" w:w="1152"/>
            <w:vAlign w:val="center"/>
          </w:tcPr>
          <w:p>
            <w:pPr>
              <w:jc w:val="center"/>
            </w:pPr>
            <w:r>
              <w:drawing>
                <wp:inline xmlns:a="http://schemas.openxmlformats.org/drawingml/2006/main" xmlns:pic="http://schemas.openxmlformats.org/drawingml/2006/picture">
                  <wp:extent cx="502920" cy="502920"/>
                  <wp:docPr id="16" name="Picture 16"/>
                  <wp:cNvGraphicFramePr>
                    <a:graphicFrameLocks noChangeAspect="1"/>
                  </wp:cNvGraphicFramePr>
                  <a:graphic>
                    <a:graphicData uri="http://schemas.openxmlformats.org/drawingml/2006/picture">
                      <pic:pic>
                        <pic:nvPicPr>
                          <pic:cNvPr id="0" name="library-skateboard.png"/>
                          <pic:cNvPicPr/>
                        </pic:nvPicPr>
                        <pic:blipFill>
                          <a:blip r:embed="rId24"/>
                          <a:stretch>
                            <a:fillRect/>
                          </a:stretch>
                        </pic:blipFill>
                        <pic:spPr>
                          <a:xfrm>
                            <a:off x="0" y="0"/>
                            <a:ext cx="502920" cy="502920"/>
                          </a:xfrm>
                          <a:prstGeom prst="rect"/>
                        </pic:spPr>
                      </pic:pic>
                    </a:graphicData>
                  </a:graphic>
                </wp:inline>
              </w:drawing>
            </w:r>
          </w:p>
        </w:tc>
        <w:tc>
          <w:tcPr>
            <w:tcW w:type="dxa" w:w="2448"/>
            <w:vAlign w:val="center"/>
          </w:tcPr>
          <w:p>
            <w:r>
              <w:rPr>
                <w:b/>
              </w:rPr>
              <w:t>Library</w:t>
            </w:r>
          </w:p>
        </w:tc>
        <w:tc>
          <w:tcPr>
            <w:tcW w:type="dxa" w:w="4176"/>
            <w:vAlign w:val="center"/>
          </w:tcPr>
          <w:p>
            <w:r>
              <w:t>Open the note library</w:t>
            </w:r>
          </w:p>
        </w:tc>
        <w:tc>
          <w:tcPr>
            <w:tcW w:type="dxa" w:w="2304"/>
            <w:vAlign w:val="center"/>
          </w:tcPr>
          <w:p>
            <w:r>
              <w:rPr>
                <w:sz w:val="16"/>
              </w:rPr>
              <w:t>Ctrl+Alt+Shift+</w:t>
            </w:r>
            <w:r>
              <w:rPr>
                <w:b/>
                <w:sz w:val="20"/>
              </w:rPr>
              <w:t>L</w:t>
            </w:r>
          </w:p>
        </w:tc>
      </w:tr>
      <w:tr>
        <w:tc>
          <w:tcPr>
            <w:tcW w:type="dxa" w:w="1152"/>
            <w:vAlign w:val="center"/>
          </w:tcPr>
          <w:p>
            <w:pPr>
              <w:jc w:val="center"/>
            </w:pPr>
            <w:r>
              <w:drawing>
                <wp:inline xmlns:a="http://schemas.openxmlformats.org/drawingml/2006/main" xmlns:pic="http://schemas.openxmlformats.org/drawingml/2006/picture">
                  <wp:extent cx="502920" cy="502920"/>
                  <wp:docPr id="17" name="Picture 17"/>
                  <wp:cNvGraphicFramePr>
                    <a:graphicFrameLocks noChangeAspect="1"/>
                  </wp:cNvGraphicFramePr>
                  <a:graphic>
                    <a:graphicData uri="http://schemas.openxmlformats.org/drawingml/2006/picture">
                      <pic:pic>
                        <pic:nvPicPr>
                          <pic:cNvPr id="0" name="grind-rail.png"/>
                          <pic:cNvPicPr/>
                        </pic:nvPicPr>
                        <pic:blipFill>
                          <a:blip r:embed="rId25"/>
                          <a:stretch>
                            <a:fillRect/>
                          </a:stretch>
                        </pic:blipFill>
                        <pic:spPr>
                          <a:xfrm>
                            <a:off x="0" y="0"/>
                            <a:ext cx="502920" cy="502920"/>
                          </a:xfrm>
                          <a:prstGeom prst="rect"/>
                        </pic:spPr>
                      </pic:pic>
                    </a:graphicData>
                  </a:graphic>
                </wp:inline>
              </w:drawing>
            </w:r>
          </w:p>
        </w:tc>
        <w:tc>
          <w:tcPr>
            <w:tcW w:type="dxa" w:w="2448"/>
            <w:vAlign w:val="center"/>
          </w:tcPr>
          <w:p>
            <w:r>
              <w:rPr>
                <w:b/>
              </w:rPr>
              <w:t>GRIND</w:t>
            </w:r>
          </w:p>
        </w:tc>
        <w:tc>
          <w:tcPr>
            <w:tcW w:type="dxa" w:w="4176"/>
            <w:vAlign w:val="center"/>
          </w:tcPr>
          <w:p>
            <w:r>
              <w:t>Open the GRIND synthesis view</w:t>
            </w:r>
          </w:p>
        </w:tc>
        <w:tc>
          <w:tcPr>
            <w:tcW w:type="dxa" w:w="2304"/>
            <w:vAlign w:val="center"/>
          </w:tcPr>
          <w:p>
            <w:r>
              <w:rPr>
                <w:sz w:val="16"/>
              </w:rPr>
              <w:t>Ctrl+Alt+Shift+</w:t>
            </w:r>
            <w:r>
              <w:rPr>
                <w:b/>
                <w:sz w:val="20"/>
              </w:rPr>
              <w:t>G</w:t>
            </w:r>
          </w:p>
        </w:tc>
      </w:tr>
      <w:tr>
        <w:tc>
          <w:tcPr>
            <w:tcW w:type="dxa" w:w="1152"/>
            <w:vAlign w:val="center"/>
          </w:tcPr>
          <w:p>
            <w:pPr>
              <w:jc w:val="center"/>
            </w:pPr>
            <w:r>
              <w:drawing>
                <wp:inline xmlns:a="http://schemas.openxmlformats.org/drawingml/2006/main" xmlns:pic="http://schemas.openxmlformats.org/drawingml/2006/picture">
                  <wp:extent cx="502920" cy="502920"/>
                  <wp:docPr id="18" name="Picture 18"/>
                  <wp:cNvGraphicFramePr>
                    <a:graphicFrameLocks noChangeAspect="1"/>
                  </wp:cNvGraphicFramePr>
                  <a:graphic>
                    <a:graphicData uri="http://schemas.openxmlformats.org/drawingml/2006/picture">
                      <pic:pic>
                        <pic:nvPicPr>
                          <pic:cNvPr id="0" name="sessions-skate.png"/>
                          <pic:cNvPicPr/>
                        </pic:nvPicPr>
                        <pic:blipFill>
                          <a:blip r:embed="rId26"/>
                          <a:stretch>
                            <a:fillRect/>
                          </a:stretch>
                        </pic:blipFill>
                        <pic:spPr>
                          <a:xfrm>
                            <a:off x="0" y="0"/>
                            <a:ext cx="502920" cy="502920"/>
                          </a:xfrm>
                          <a:prstGeom prst="rect"/>
                        </pic:spPr>
                      </pic:pic>
                    </a:graphicData>
                  </a:graphic>
                </wp:inline>
              </w:drawing>
            </w:r>
          </w:p>
        </w:tc>
        <w:tc>
          <w:tcPr>
            <w:tcW w:type="dxa" w:w="2448"/>
            <w:vAlign w:val="center"/>
          </w:tcPr>
          <w:p>
            <w:r>
              <w:rPr>
                <w:b/>
              </w:rPr>
              <w:t>Sessions</w:t>
            </w:r>
          </w:p>
        </w:tc>
        <w:tc>
          <w:tcPr>
            <w:tcW w:type="dxa" w:w="4176"/>
            <w:vAlign w:val="center"/>
          </w:tcPr>
          <w:p>
            <w:r>
              <w:t>Open Sessions</w:t>
            </w:r>
          </w:p>
        </w:tc>
        <w:tc>
          <w:tcPr>
            <w:tcW w:type="dxa" w:w="2304"/>
            <w:vAlign w:val="center"/>
          </w:tcPr>
          <w:p>
            <w:r>
              <w:rPr>
                <w:sz w:val="16"/>
              </w:rPr>
              <w:t>Ctrl+Alt+Shift+</w:t>
            </w:r>
            <w:r>
              <w:rPr>
                <w:b/>
                <w:sz w:val="20"/>
              </w:rPr>
              <w:t>S</w:t>
            </w:r>
          </w:p>
        </w:tc>
      </w:tr>
      <w:tr>
        <w:tc>
          <w:tcPr>
            <w:tcW w:type="dxa" w:w="1152"/>
            <w:vAlign w:val="center"/>
          </w:tcPr>
          <w:p>
            <w:pPr>
              <w:jc w:val="center"/>
            </w:pPr>
            <w:r>
              <w:drawing>
                <wp:inline xmlns:a="http://schemas.openxmlformats.org/drawingml/2006/main" xmlns:pic="http://schemas.openxmlformats.org/drawingml/2006/picture">
                  <wp:extent cx="502920" cy="502920"/>
                  <wp:docPr id="19" name="Picture 19"/>
                  <wp:cNvGraphicFramePr>
                    <a:graphicFrameLocks noChangeAspect="1"/>
                  </wp:cNvGraphicFramePr>
                  <a:graphic>
                    <a:graphicData uri="http://schemas.openxmlformats.org/drawingml/2006/picture">
                      <pic:pic>
                        <pic:nvPicPr>
                          <pic:cNvPr id="0" name="start-skate.png"/>
                          <pic:cNvPicPr/>
                        </pic:nvPicPr>
                        <pic:blipFill>
                          <a:blip r:embed="rId27"/>
                          <a:stretch>
                            <a:fillRect/>
                          </a:stretch>
                        </pic:blipFill>
                        <pic:spPr>
                          <a:xfrm>
                            <a:off x="0" y="0"/>
                            <a:ext cx="502920" cy="502920"/>
                          </a:xfrm>
                          <a:prstGeom prst="rect"/>
                        </pic:spPr>
                      </pic:pic>
                    </a:graphicData>
                  </a:graphic>
                </wp:inline>
              </w:drawing>
            </w:r>
          </w:p>
        </w:tc>
        <w:tc>
          <w:tcPr>
            <w:tcW w:type="dxa" w:w="2448"/>
            <w:vAlign w:val="center"/>
          </w:tcPr>
          <w:p>
            <w:r>
              <w:rPr>
                <w:b/>
              </w:rPr>
              <w:t>New Note</w:t>
            </w:r>
          </w:p>
        </w:tc>
        <w:tc>
          <w:tcPr>
            <w:tcW w:type="dxa" w:w="4176"/>
            <w:vAlign w:val="center"/>
          </w:tcPr>
          <w:p>
            <w:r>
              <w:t>Create a new note</w:t>
            </w:r>
          </w:p>
        </w:tc>
        <w:tc>
          <w:tcPr>
            <w:tcW w:type="dxa" w:w="2304"/>
            <w:vAlign w:val="center"/>
          </w:tcPr>
          <w:p>
            <w:r>
              <w:rPr>
                <w:sz w:val="16"/>
              </w:rPr>
              <w:t>Ctrl+Alt+Shift+</w:t>
            </w:r>
            <w:r>
              <w:rPr>
                <w:b/>
                <w:sz w:val="20"/>
              </w:rPr>
              <w:t>N</w:t>
            </w:r>
          </w:p>
        </w:tc>
      </w:tr>
    </w:tbl>
    <w:p>
      <w:pPr>
        <w:pStyle w:val="Heading1"/>
      </w:pPr>
      <w:r>
        <w:t>Setup in Stream Deck</w:t>
      </w:r>
    </w:p>
    <w:p>
      <w:pPr>
        <w:pStyle w:val="ListNumber"/>
      </w:pPr>
      <w:r>
        <w:t>Add a Hotkey action to each key and record its combination (Ctrl + Alt + Shift + the key).</w:t>
      </w:r>
    </w:p>
    <w:p>
      <w:pPr>
        <w:pStyle w:val="ListNumber"/>
      </w:pPr>
      <w:r>
        <w:t>Set the key image to the matching .png (or .svg) in this folder.</w:t>
      </w:r>
    </w:p>
    <w:p>
      <w:pPr>
        <w:pStyle w:val="ListNumber"/>
      </w:pPr>
      <w:r>
        <w:t>Open SKATE → Spotter (Ctrl+Alt+Shift+P) and keep that window focused during the workshop.</w:t>
      </w:r>
    </w:p>
    <w:p>
      <w:pPr>
        <w:pStyle w:val="ListNumber"/>
      </w:pPr>
      <w:r>
        <w:t>Select a Session in the Session memory field so Synthesize and Readout can use its notes.</w:t>
      </w:r>
    </w:p>
    <w:p>
      <w:pPr>
        <w:pStyle w:val="ListNumber"/>
      </w:pPr>
      <w:r>
        <w:t>In the room: tap a stance key (mic opens) → talk → tap Stop talking → Spotter responds.</w:t>
      </w:r>
    </w:p>
    <w:p>
      <w:pPr>
        <w:pStyle w:val="Heading1"/>
      </w:pPr>
      <w:r>
        <w:t>Editing</w:t>
      </w:r>
    </w:p>
    <w:p>
      <w:r>
        <w:t>The icons are plain SVG text files — open one and tweak paths, colors, or labels directly. To re-export PNGs, run tools/svg_to_png.py. No build step or Python dependency is required to use the SVGs themselves.</w:t>
      </w:r>
    </w:p>
    <w:p>
      <w:pPr>
        <w:pStyle w:val="Heading1"/>
      </w:pPr>
      <w:r>
        <w:t>Stance pre-prompts — what each key tells Spotter</w:t>
      </w:r>
    </w:p>
    <w:p>
      <w:pPr/>
      <w:r>
        <w:rPr>
          <w:b/>
        </w:rPr>
        <w:t xml:space="preserve">Two layers shape every Spotter answer. </w:t>
      </w:r>
      <w:r>
        <w:t>First, a fixed base persona that is always on: Spotter, Aberdeen Advisors’ facilitation co-pilot, fluent in Lean Six Sigma (DMAIC, the DOWNTIME wastes, 5 Whys, VA/NVA), Kaizen events, Design Thinking / HCD, DFSS, and AI &amp; automation — operator-grade, bottom line first. Second, the stance pre-prompt below, injected the instant you press the key, which points that persona at one specific job. You then talk, and Spotter responds in that stance.</w:t>
      </w:r>
    </w:p>
    <w:p>
      <w:pPr/>
      <w:r>
        <w:t>The “Pre-prompt” column is the exact text each button sends (verbatim from the app). “Captures” is the object type the stance tags its note with. Stances marked with session use read the active Session’s notes when one is selected.</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800"/>
            <w:shd w:val="clear" w:color="auto" w:fill="1F3B57"/>
          </w:tcPr>
          <w:p>
            <w:r>
              <w:rPr>
                <w:color w:val="FFFFFF"/>
                <w:sz w:val="20"/>
              </w:rPr>
            </w:r>
            <w:r>
              <w:rPr>
                <w:b/>
              </w:rPr>
              <w:t>Stance</w:t>
            </w:r>
          </w:p>
        </w:tc>
        <w:tc>
          <w:tcPr>
            <w:tcW w:type="dxa" w:w="1944"/>
            <w:shd w:val="clear" w:color="auto" w:fill="1F3B57"/>
          </w:tcPr>
          <w:p>
            <w:r>
              <w:rPr>
                <w:color w:val="FFFFFF"/>
                <w:sz w:val="20"/>
              </w:rPr>
            </w:r>
            <w:r>
              <w:rPr>
                <w:b/>
              </w:rPr>
              <w:t>Hotkey</w:t>
            </w:r>
          </w:p>
        </w:tc>
        <w:tc>
          <w:tcPr>
            <w:tcW w:type="dxa" w:w="1368"/>
            <w:shd w:val="clear" w:color="auto" w:fill="1F3B57"/>
          </w:tcPr>
          <w:p>
            <w:r>
              <w:rPr>
                <w:color w:val="FFFFFF"/>
                <w:sz w:val="20"/>
              </w:rPr>
            </w:r>
            <w:r>
              <w:rPr>
                <w:b/>
              </w:rPr>
              <w:t>Captures</w:t>
            </w:r>
          </w:p>
        </w:tc>
        <w:tc>
          <w:tcPr>
            <w:tcW w:type="dxa" w:w="4824"/>
            <w:shd w:val="clear" w:color="auto" w:fill="1F3B57"/>
          </w:tcPr>
          <w:p>
            <w:r>
              <w:rPr>
                <w:color w:val="FFFFFF"/>
                <w:sz w:val="20"/>
              </w:rPr>
            </w:r>
            <w:r>
              <w:rPr>
                <w:b/>
              </w:rPr>
              <w:t>Pre-prompt (verbatim)</w:t>
            </w:r>
          </w:p>
        </w:tc>
      </w:tr>
      <w:tr>
        <w:tc>
          <w:tcPr>
            <w:tcW w:type="dxa" w:w="1800"/>
          </w:tcPr>
          <w:p>
            <w:r/>
            <w:r>
              <w:rPr>
                <w:b/>
                <w:sz w:val="20"/>
              </w:rPr>
              <w:t>Observe</w:t>
            </w:r>
          </w:p>
        </w:tc>
        <w:tc>
          <w:tcPr>
            <w:tcW w:type="dxa" w:w="1944"/>
          </w:tcPr>
          <w:p>
            <w:r/>
            <w:r>
              <w:rPr>
                <w:b w:val="0"/>
                <w:sz w:val="20"/>
              </w:rPr>
              <w:t>Ctrl+Alt+Shift+O</w:t>
            </w:r>
          </w:p>
        </w:tc>
        <w:tc>
          <w:tcPr>
            <w:tcW w:type="dxa" w:w="1368"/>
          </w:tcPr>
          <w:p>
            <w:r/>
            <w:r>
              <w:rPr>
                <w:b w:val="0"/>
                <w:sz w:val="20"/>
              </w:rPr>
              <w:t>observation</w:t>
            </w:r>
          </w:p>
        </w:tc>
        <w:tc>
          <w:tcPr>
            <w:tcW w:type="dxa" w:w="4824"/>
          </w:tcPr>
          <w:p>
            <w:r/>
            <w:r>
              <w:rPr>
                <w:b w:val="0"/>
                <w:sz w:val="20"/>
              </w:rPr>
              <w:t>Wake up as an IDEO-style workshop observer. Listen for what people do, say, feel, avoid, repeat, and work around. Use session notes when available.</w:t>
            </w:r>
          </w:p>
        </w:tc>
      </w:tr>
      <w:tr>
        <w:tc>
          <w:tcPr>
            <w:tcW w:type="dxa" w:w="1800"/>
          </w:tcPr>
          <w:p>
            <w:r/>
            <w:r>
              <w:rPr>
                <w:b/>
                <w:sz w:val="20"/>
              </w:rPr>
              <w:t>Find Waste</w:t>
            </w:r>
          </w:p>
        </w:tc>
        <w:tc>
          <w:tcPr>
            <w:tcW w:type="dxa" w:w="1944"/>
          </w:tcPr>
          <w:p>
            <w:r/>
            <w:r>
              <w:rPr>
                <w:b w:val="0"/>
                <w:sz w:val="20"/>
              </w:rPr>
              <w:t>Ctrl+Alt+Shift+W</w:t>
            </w:r>
          </w:p>
        </w:tc>
        <w:tc>
          <w:tcPr>
            <w:tcW w:type="dxa" w:w="1368"/>
          </w:tcPr>
          <w:p>
            <w:r/>
            <w:r>
              <w:rPr>
                <w:b w:val="0"/>
                <w:sz w:val="20"/>
              </w:rPr>
              <w:t>pain</w:t>
            </w:r>
          </w:p>
        </w:tc>
        <w:tc>
          <w:tcPr>
            <w:tcW w:type="dxa" w:w="4824"/>
          </w:tcPr>
          <w:p>
            <w:r/>
            <w:r>
              <w:rPr>
                <w:b w:val="0"/>
                <w:sz w:val="20"/>
              </w:rPr>
              <w:t>Wake up as a Lean coach. Listen for process waste, delay, defects, overprocessing, motion, inventory, waiting, handoff friction, and avoidable cognitive load.</w:t>
            </w:r>
          </w:p>
        </w:tc>
      </w:tr>
      <w:tr>
        <w:tc>
          <w:tcPr>
            <w:tcW w:type="dxa" w:w="1800"/>
          </w:tcPr>
          <w:p>
            <w:r/>
            <w:r>
              <w:rPr>
                <w:b/>
                <w:sz w:val="20"/>
              </w:rPr>
              <w:t>5 Whys</w:t>
            </w:r>
          </w:p>
        </w:tc>
        <w:tc>
          <w:tcPr>
            <w:tcW w:type="dxa" w:w="1944"/>
          </w:tcPr>
          <w:p>
            <w:r/>
            <w:r>
              <w:rPr>
                <w:b w:val="0"/>
                <w:sz w:val="20"/>
              </w:rPr>
              <w:t>Ctrl+Alt+Shift+Y</w:t>
            </w:r>
          </w:p>
        </w:tc>
        <w:tc>
          <w:tcPr>
            <w:tcW w:type="dxa" w:w="1368"/>
          </w:tcPr>
          <w:p>
            <w:r/>
            <w:r>
              <w:rPr>
                <w:b w:val="0"/>
                <w:sz w:val="20"/>
              </w:rPr>
              <w:t>insight</w:t>
            </w:r>
          </w:p>
        </w:tc>
        <w:tc>
          <w:tcPr>
            <w:tcW w:type="dxa" w:w="4824"/>
          </w:tcPr>
          <w:p>
            <w:r/>
            <w:r>
              <w:rPr>
                <w:b w:val="0"/>
                <w:sz w:val="20"/>
              </w:rPr>
              <w:t>Wake up as a root-cause coach. Facilitate a concise 5 Whys chain using the capture and session notes. Separate observed symptoms from plausible root causes.</w:t>
            </w:r>
          </w:p>
        </w:tc>
      </w:tr>
      <w:tr>
        <w:tc>
          <w:tcPr>
            <w:tcW w:type="dxa" w:w="1800"/>
          </w:tcPr>
          <w:p>
            <w:r/>
            <w:r>
              <w:rPr>
                <w:b/>
                <w:sz w:val="20"/>
              </w:rPr>
              <w:t>How Might We</w:t>
            </w:r>
          </w:p>
        </w:tc>
        <w:tc>
          <w:tcPr>
            <w:tcW w:type="dxa" w:w="1944"/>
          </w:tcPr>
          <w:p>
            <w:r/>
            <w:r>
              <w:rPr>
                <w:b w:val="0"/>
                <w:sz w:val="20"/>
              </w:rPr>
              <w:t>Ctrl+Alt+Shift+H</w:t>
            </w:r>
          </w:p>
        </w:tc>
        <w:tc>
          <w:tcPr>
            <w:tcW w:type="dxa" w:w="1368"/>
          </w:tcPr>
          <w:p>
            <w:r/>
            <w:r>
              <w:rPr>
                <w:b w:val="0"/>
                <w:sz w:val="20"/>
              </w:rPr>
              <w:t>question</w:t>
            </w:r>
          </w:p>
        </w:tc>
        <w:tc>
          <w:tcPr>
            <w:tcW w:type="dxa" w:w="4824"/>
          </w:tcPr>
          <w:p>
            <w:r/>
            <w:r>
              <w:rPr>
                <w:b w:val="0"/>
                <w:sz w:val="20"/>
              </w:rPr>
              <w:t>Wake up as a design thinking facilitator. Convert the capture and relevant session notes into strong How Might We prompts that are broad enough for ideation and specific enough for action.</w:t>
            </w:r>
          </w:p>
        </w:tc>
      </w:tr>
      <w:tr>
        <w:tc>
          <w:tcPr>
            <w:tcW w:type="dxa" w:w="1800"/>
          </w:tcPr>
          <w:p>
            <w:r/>
            <w:r>
              <w:rPr>
                <w:b/>
                <w:sz w:val="20"/>
              </w:rPr>
              <w:t>Map Flow (Process Map)</w:t>
            </w:r>
          </w:p>
        </w:tc>
        <w:tc>
          <w:tcPr>
            <w:tcW w:type="dxa" w:w="1944"/>
          </w:tcPr>
          <w:p>
            <w:r/>
            <w:r>
              <w:rPr>
                <w:b w:val="0"/>
                <w:sz w:val="20"/>
              </w:rPr>
              <w:t>Ctrl+Alt+Shift+M</w:t>
            </w:r>
          </w:p>
        </w:tc>
        <w:tc>
          <w:tcPr>
            <w:tcW w:type="dxa" w:w="1368"/>
          </w:tcPr>
          <w:p>
            <w:r/>
            <w:r>
              <w:rPr>
                <w:b w:val="0"/>
                <w:sz w:val="20"/>
              </w:rPr>
              <w:t>process</w:t>
            </w:r>
          </w:p>
        </w:tc>
        <w:tc>
          <w:tcPr>
            <w:tcW w:type="dxa" w:w="4824"/>
          </w:tcPr>
          <w:p>
            <w:r/>
            <w:r>
              <w:rPr>
                <w:b w:val="0"/>
                <w:sz w:val="20"/>
              </w:rPr>
              <w:t>Wake up as a process improvement coach. Map the flow implied by the capture and session notes: trigger, handoffs, queues, rework loops, systems, decisions, and outputs.</w:t>
            </w:r>
          </w:p>
        </w:tc>
      </w:tr>
      <w:tr>
        <w:tc>
          <w:tcPr>
            <w:tcW w:type="dxa" w:w="1800"/>
          </w:tcPr>
          <w:p>
            <w:r/>
            <w:r>
              <w:rPr>
                <w:b/>
                <w:sz w:val="20"/>
              </w:rPr>
              <w:t>Frame Challenge</w:t>
            </w:r>
          </w:p>
        </w:tc>
        <w:tc>
          <w:tcPr>
            <w:tcW w:type="dxa" w:w="1944"/>
          </w:tcPr>
          <w:p>
            <w:r/>
            <w:r>
              <w:rPr>
                <w:b w:val="0"/>
                <w:sz w:val="20"/>
              </w:rPr>
              <w:t>Ctrl+Alt+Shift+F</w:t>
            </w:r>
          </w:p>
        </w:tc>
        <w:tc>
          <w:tcPr>
            <w:tcW w:type="dxa" w:w="1368"/>
          </w:tcPr>
          <w:p>
            <w:r/>
            <w:r>
              <w:rPr>
                <w:b w:val="0"/>
                <w:sz w:val="20"/>
              </w:rPr>
              <w:t>pain</w:t>
            </w:r>
          </w:p>
        </w:tc>
        <w:tc>
          <w:tcPr>
            <w:tcW w:type="dxa" w:w="4824"/>
          </w:tcPr>
          <w:p>
            <w:r/>
            <w:r>
              <w:rPr>
                <w:b w:val="0"/>
                <w:sz w:val="20"/>
              </w:rPr>
              <w:t>Wake up as a design thinking problem-framing coach. Turn the capture and relevant session notes into a clear challenge, affected users, constraints, evidence, and assumptions.</w:t>
            </w:r>
          </w:p>
        </w:tc>
      </w:tr>
      <w:tr>
        <w:tc>
          <w:tcPr>
            <w:tcW w:type="dxa" w:w="1800"/>
          </w:tcPr>
          <w:p>
            <w:r/>
            <w:r>
              <w:rPr>
                <w:b/>
                <w:sz w:val="20"/>
              </w:rPr>
              <w:t>Synthesize Notes</w:t>
            </w:r>
          </w:p>
        </w:tc>
        <w:tc>
          <w:tcPr>
            <w:tcW w:type="dxa" w:w="1944"/>
          </w:tcPr>
          <w:p>
            <w:r/>
            <w:r>
              <w:rPr>
                <w:b w:val="0"/>
                <w:sz w:val="20"/>
              </w:rPr>
              <w:t>Ctrl+Alt+Shift+Z</w:t>
            </w:r>
          </w:p>
        </w:tc>
        <w:tc>
          <w:tcPr>
            <w:tcW w:type="dxa" w:w="1368"/>
          </w:tcPr>
          <w:p>
            <w:r/>
            <w:r>
              <w:rPr>
                <w:b w:val="0"/>
                <w:sz w:val="20"/>
              </w:rPr>
              <w:t>insight</w:t>
            </w:r>
          </w:p>
        </w:tc>
        <w:tc>
          <w:tcPr>
            <w:tcW w:type="dxa" w:w="4824"/>
          </w:tcPr>
          <w:p>
            <w:r/>
            <w:r>
              <w:rPr>
                <w:b w:val="0"/>
                <w:sz w:val="20"/>
              </w:rPr>
              <w:t>Wake up as a workshop synthesis partner. Read the applicable session notes, connect patterns, identify tensions, and summarize what the team should notice now.</w:t>
            </w:r>
          </w:p>
        </w:tc>
      </w:tr>
      <w:tr>
        <w:tc>
          <w:tcPr>
            <w:tcW w:type="dxa" w:w="1800"/>
          </w:tcPr>
          <w:p>
            <w:r/>
            <w:r>
              <w:rPr>
                <w:b/>
                <w:sz w:val="20"/>
              </w:rPr>
              <w:t>Executive Readout</w:t>
            </w:r>
          </w:p>
        </w:tc>
        <w:tc>
          <w:tcPr>
            <w:tcW w:type="dxa" w:w="1944"/>
          </w:tcPr>
          <w:p>
            <w:r/>
            <w:r>
              <w:rPr>
                <w:b w:val="0"/>
                <w:sz w:val="20"/>
              </w:rPr>
              <w:t>Ctrl+Alt+Shift+R</w:t>
            </w:r>
          </w:p>
        </w:tc>
        <w:tc>
          <w:tcPr>
            <w:tcW w:type="dxa" w:w="1368"/>
          </w:tcPr>
          <w:p>
            <w:r/>
            <w:r>
              <w:rPr>
                <w:b w:val="0"/>
                <w:sz w:val="20"/>
              </w:rPr>
              <w:t>insight</w:t>
            </w:r>
          </w:p>
        </w:tc>
        <w:tc>
          <w:tcPr>
            <w:tcW w:type="dxa" w:w="4824"/>
          </w:tcPr>
          <w:p>
            <w:r/>
            <w:r>
              <w:rPr>
                <w:b w:val="0"/>
                <w:sz w:val="20"/>
              </w:rPr>
              <w:t>Wake up as an executive synthesis coach. Turn the capture and applicable session notes into executive-ready insight, recommendation, decision needed, and action path.</w:t>
            </w:r>
          </w:p>
        </w:tc>
      </w:tr>
      <w:tr>
        <w:tc>
          <w:tcPr>
            <w:tcW w:type="dxa" w:w="1800"/>
          </w:tcPr>
          <w:p>
            <w:r/>
            <w:r>
              <w:rPr>
                <w:b/>
                <w:sz w:val="20"/>
              </w:rPr>
              <w:t>Kaizen Event</w:t>
            </w:r>
          </w:p>
        </w:tc>
        <w:tc>
          <w:tcPr>
            <w:tcW w:type="dxa" w:w="1944"/>
          </w:tcPr>
          <w:p>
            <w:r/>
            <w:r>
              <w:rPr>
                <w:b w:val="0"/>
                <w:sz w:val="20"/>
              </w:rPr>
              <w:t>Ctrl+Alt+Shift+K</w:t>
            </w:r>
          </w:p>
        </w:tc>
        <w:tc>
          <w:tcPr>
            <w:tcW w:type="dxa" w:w="1368"/>
          </w:tcPr>
          <w:p>
            <w:r/>
            <w:r>
              <w:rPr>
                <w:b w:val="0"/>
                <w:sz w:val="20"/>
              </w:rPr>
              <w:t>process</w:t>
            </w:r>
          </w:p>
        </w:tc>
        <w:tc>
          <w:tcPr>
            <w:tcW w:type="dxa" w:w="4824"/>
          </w:tcPr>
          <w:p>
            <w:r/>
            <w:r>
              <w:rPr>
                <w:b w:val="0"/>
                <w:sz w:val="20"/>
              </w:rPr>
              <w:t>Wake up as a Kaizen event coach. Look for current state, waste, standard work gaps, quick wins, owners, daily management signals, and the next experiment.</w:t>
            </w:r>
          </w:p>
        </w:tc>
      </w:tr>
      <w:tr>
        <w:tc>
          <w:tcPr>
            <w:tcW w:type="dxa" w:w="1800"/>
          </w:tcPr>
          <w:p>
            <w:r/>
            <w:r>
              <w:rPr>
                <w:b/>
                <w:sz w:val="20"/>
              </w:rPr>
              <w:t>Next Experiment</w:t>
            </w:r>
          </w:p>
        </w:tc>
        <w:tc>
          <w:tcPr>
            <w:tcW w:type="dxa" w:w="1944"/>
          </w:tcPr>
          <w:p>
            <w:r/>
            <w:r>
              <w:rPr>
                <w:b w:val="0"/>
                <w:sz w:val="20"/>
              </w:rPr>
              <w:t>Ctrl+Alt+Shift+T</w:t>
            </w:r>
          </w:p>
        </w:tc>
        <w:tc>
          <w:tcPr>
            <w:tcW w:type="dxa" w:w="1368"/>
          </w:tcPr>
          <w:p>
            <w:r/>
            <w:r>
              <w:rPr>
                <w:b w:val="0"/>
                <w:sz w:val="20"/>
              </w:rPr>
              <w:t>recommendation</w:t>
            </w:r>
          </w:p>
        </w:tc>
        <w:tc>
          <w:tcPr>
            <w:tcW w:type="dxa" w:w="4824"/>
          </w:tcPr>
          <w:p>
            <w:r/>
            <w:r>
              <w:rPr>
                <w:b w:val="0"/>
                <w:sz w:val="20"/>
              </w:rPr>
              <w:t>Wake up as a practical experimentation coach. Turn the capture and notes into the smallest useful test, owner, metric, learning goal, and next decision.</w:t>
            </w:r>
          </w:p>
        </w:tc>
      </w:tr>
      <w:tr>
        <w:tc>
          <w:tcPr>
            <w:tcW w:type="dxa" w:w="1800"/>
          </w:tcPr>
          <w:p>
            <w:r/>
            <w:r>
              <w:rPr>
                <w:b/>
                <w:sz w:val="20"/>
              </w:rPr>
              <w:t>Ask Spotter</w:t>
            </w:r>
          </w:p>
        </w:tc>
        <w:tc>
          <w:tcPr>
            <w:tcW w:type="dxa" w:w="1944"/>
          </w:tcPr>
          <w:p>
            <w:r/>
            <w:r>
              <w:rPr>
                <w:b w:val="0"/>
                <w:sz w:val="20"/>
              </w:rPr>
              <w:t>Ctrl+Alt+Shift+Q</w:t>
            </w:r>
          </w:p>
        </w:tc>
        <w:tc>
          <w:tcPr>
            <w:tcW w:type="dxa" w:w="1368"/>
          </w:tcPr>
          <w:p>
            <w:r/>
            <w:r>
              <w:rPr>
                <w:b w:val="0"/>
                <w:sz w:val="20"/>
              </w:rPr>
              <w:t>observation</w:t>
            </w:r>
          </w:p>
        </w:tc>
        <w:tc>
          <w:tcPr>
            <w:tcW w:type="dxa" w:w="4824"/>
          </w:tcPr>
          <w:p>
            <w:r/>
            <w:r>
              <w:rPr>
                <w:b w:val="0"/>
                <w:sz w:val="20"/>
              </w:rPr>
              <w:t>Wake up as Spotter, a workshop coach using IDEO-style design thinking, Kaizen events, Lean process improvement, HFE, and transformation consulting. Use notes if a session is active.</w:t>
            </w:r>
          </w:p>
        </w:tc>
      </w:tr>
    </w:tbl>
    <w:p>
      <w:pPr/>
      <w:r>
        <w:rPr>
          <w:b/>
        </w:rPr>
        <w:t xml:space="preserve">Keys without a pre-prompt (action only). </w:t>
      </w:r>
      <w:r>
        <w:t>The remaining eight keys carry no pre-prompt — they perform an action rather than set a coaching stance:</w:t>
      </w:r>
    </w:p>
    <w:p>
      <w:pPr>
        <w:pStyle w:val="ListBullet"/>
      </w:pPr>
      <w:r>
        <w:t>Start talking (Ctrl+Alt+Shift+Space) and Stop talking (Ctrl+Alt+Shift+X) — open and close the mic in the current stance; they do not change the stance.</w:t>
      </w:r>
    </w:p>
    <w:p>
      <w:pPr>
        <w:pStyle w:val="ListBullet"/>
      </w:pPr>
      <w:r>
        <w:t>Library (L), New Note (N), GRIND (G), Spotter (P), Sessions (S), and About (A) — navigation only; each just opens that page (all with the Ctrl+Alt+Shift modifier).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