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Bench notebook</w:t>
      </w:r>
    </w:p>
    <w:p>
      <w:r>
        <w:t>Self-authored fixture. Paragraph before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Sample</w:t>
            </w:r>
          </w:p>
        </w:tc>
        <w:tc>
          <w:tcPr>
            <w:tcW w:type="dxa" w:w="4320"/>
          </w:tcPr>
          <w:p>
            <w:r>
              <w:t>Volume (L)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2.00</w:t>
            </w:r>
          </w:p>
        </w:tc>
      </w:tr>
    </w:tbl>
    <w:p>
      <w:r>
        <w:t>Paragraph after the table, before the workflow image.</w:t>
      </w:r>
    </w:p>
    <w:p>
      <w:r>
        <w:drawing>
          <wp:inline xmlns:a="http://schemas.openxmlformats.org/drawingml/2006/main" xmlns:pic="http://schemas.openxmlformats.org/drawingml/2006/picture">
            <wp:extent cx="5303520" cy="2238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Paragraph after the image. Pass leads to Publish; fail leads to Revise.</w:t>
      </w:r>
    </w:p>
    <w:p>
      <w:pPr>
        <w:pStyle w:val="Heading1"/>
      </w:pPr>
      <w:r>
        <w:t>A useful caveat</w:t>
      </w:r>
    </w:p>
    <w:p>
      <w:r>
        <w:t>These are invented measurements, not a laboratory protocol. Keep 0.00 as a value.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 notebook</dc:title>
  <dc:subject/>
  <dc:creator>Knowledge Base Kit contributors</dc:creator>
  <cp:keywords/>
  <dc:description>generated by python-docx</dc:description>
  <cp:lastModifiedBy>Knowledge Base Kit contributors</cp:lastModifiedBy>
  <cp:revision>1</cp:revision>
  <dcterms:created xsi:type="dcterms:W3CDTF">2026-01-01T00:00:00Z</dcterms:created>
  <dcterms:modified xsi:type="dcterms:W3CDTF">2026-01-01T00:00:00Z</dcterms:modified>
  <cp:category/>
</cp:coreProperties>
</file>