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F92CD" w14:textId="4B72DD1F" w:rsidR="00C652D8" w:rsidRPr="00C652D8" w:rsidRDefault="00C652D8" w:rsidP="00C652D8">
      <w:pPr>
        <w:jc w:val="center"/>
        <w:rPr>
          <w:rFonts w:asciiTheme="majorEastAsia" w:eastAsiaTheme="majorEastAsia" w:hAnsiTheme="majorEastAsia" w:cs="Calibri"/>
          <w:b/>
          <w:bCs/>
          <w:sz w:val="24"/>
        </w:rPr>
      </w:pPr>
      <w:r w:rsidRPr="00C652D8">
        <w:rPr>
          <w:rFonts w:asciiTheme="majorEastAsia" w:eastAsiaTheme="majorEastAsia" w:hAnsiTheme="majorEastAsia" w:cs="Calibri" w:hint="eastAsia"/>
          <w:b/>
          <w:bCs/>
          <w:sz w:val="24"/>
        </w:rPr>
        <w:t xml:space="preserve">Weekly News   </w:t>
      </w:r>
      <w:r w:rsidR="002D42FB" w:rsidRPr="002D42FB">
        <w:rPr>
          <w:rFonts w:asciiTheme="majorEastAsia" w:eastAsiaTheme="majorEastAsia" w:hAnsiTheme="majorEastAsia" w:cs="Calibri"/>
          <w:b/>
          <w:bCs/>
          <w:sz w:val="24"/>
        </w:rPr>
        <w:t>UK-US Tech Prosperity Deal</w:t>
      </w:r>
    </w:p>
    <w:p w14:paraId="2F011E1F" w14:textId="2CDAFAAB" w:rsidR="00C652D8" w:rsidRDefault="00C652D8" w:rsidP="00C652D8">
      <w:pPr>
        <w:jc w:val="center"/>
        <w:rPr>
          <w:rFonts w:asciiTheme="majorEastAsia" w:eastAsiaTheme="majorEastAsia" w:hAnsiTheme="majorEastAsia" w:cs="Calibri"/>
          <w:b/>
          <w:bCs/>
          <w:sz w:val="24"/>
        </w:rPr>
      </w:pPr>
      <w:r w:rsidRPr="00C652D8">
        <w:rPr>
          <w:rFonts w:asciiTheme="majorEastAsia" w:eastAsiaTheme="majorEastAsia" w:hAnsiTheme="majorEastAsia" w:cs="Calibri" w:hint="eastAsia"/>
          <w:b/>
          <w:bCs/>
          <w:sz w:val="24"/>
        </w:rPr>
        <w:t>Sixuan Xu 9.21</w:t>
      </w:r>
    </w:p>
    <w:p w14:paraId="13E1ADBA" w14:textId="77777777" w:rsidR="00C652D8" w:rsidRPr="00C652D8" w:rsidRDefault="00C652D8" w:rsidP="00C652D8">
      <w:pPr>
        <w:jc w:val="center"/>
        <w:rPr>
          <w:rFonts w:asciiTheme="majorEastAsia" w:eastAsiaTheme="majorEastAsia" w:hAnsiTheme="majorEastAsia" w:cs="Calibri"/>
          <w:b/>
          <w:bCs/>
          <w:sz w:val="24"/>
        </w:rPr>
      </w:pPr>
    </w:p>
    <w:p w14:paraId="1A643086" w14:textId="7C7B8B27" w:rsidR="006F59E5" w:rsidRPr="00C652D8" w:rsidRDefault="00C652D8" w:rsidP="00C652D8">
      <w:pPr>
        <w:pStyle w:val="a9"/>
        <w:numPr>
          <w:ilvl w:val="0"/>
          <w:numId w:val="5"/>
        </w:numPr>
        <w:rPr>
          <w:rFonts w:ascii="Calibri" w:hAnsi="Calibri" w:cs="Calibri"/>
          <w:sz w:val="24"/>
        </w:rPr>
      </w:pPr>
      <w:r>
        <w:rPr>
          <w:rFonts w:ascii="Calibri" w:hAnsi="Calibri" w:cs="Calibri" w:hint="eastAsia"/>
          <w:sz w:val="24"/>
        </w:rPr>
        <w:t>Ove</w:t>
      </w:r>
      <w:r w:rsidR="006F59E5" w:rsidRPr="00C652D8">
        <w:rPr>
          <w:rFonts w:ascii="Calibri" w:hAnsi="Calibri" w:cs="Calibri"/>
          <w:sz w:val="24"/>
        </w:rPr>
        <w:t>rview</w:t>
      </w:r>
    </w:p>
    <w:p w14:paraId="10A6505C" w14:textId="044F98FC" w:rsidR="006F59E5" w:rsidRDefault="006F59E5" w:rsidP="006F59E5">
      <w:pPr>
        <w:rPr>
          <w:rFonts w:ascii="Calibri" w:hAnsi="Calibri" w:cs="Calibri"/>
          <w:sz w:val="24"/>
        </w:rPr>
      </w:pPr>
      <w:r w:rsidRPr="006F59E5">
        <w:rPr>
          <w:rFonts w:ascii="Calibri" w:hAnsi="Calibri" w:cs="Calibri"/>
          <w:sz w:val="24"/>
        </w:rPr>
        <w:t xml:space="preserve">The United Kingdom and the United States have announced a landmark "Tech Prosperity Deal," a strategic partnership focused on accelerating the development of advanced technologies, including artificial intelligence (AI), quantum computing, and civil nuclear energy. As part of this agreement, major American tech companies—Microsoft, NVIDIA, Google, OpenAI, and </w:t>
      </w:r>
      <w:proofErr w:type="spellStart"/>
      <w:r w:rsidRPr="006F59E5">
        <w:rPr>
          <w:rFonts w:ascii="Calibri" w:hAnsi="Calibri" w:cs="Calibri"/>
          <w:sz w:val="24"/>
        </w:rPr>
        <w:t>CoreWeave</w:t>
      </w:r>
      <w:proofErr w:type="spellEnd"/>
      <w:r>
        <w:rPr>
          <w:rFonts w:ascii="Calibri" w:hAnsi="Calibri" w:cs="Calibri" w:hint="eastAsia"/>
          <w:sz w:val="24"/>
        </w:rPr>
        <w:t xml:space="preserve"> </w:t>
      </w:r>
      <w:r w:rsidRPr="006F59E5">
        <w:rPr>
          <w:rFonts w:ascii="Calibri" w:hAnsi="Calibri" w:cs="Calibri"/>
          <w:sz w:val="24"/>
        </w:rPr>
        <w:t>will invest £31 billion into the UK's AI infrastructure. This investment will focus on bolstering data centers and computer chip capabilities. The deal builds upon a previous £44 billion in tech investment in the UK. The partnership aims to combine resources and expertise to advance key sectors, including using AI and quantum computing to speed up drug discovery in healthcare and streamlining the delivery of nuclear projects to enhance energy security. An "AI Growth Zone" will also be established in the North East of England to foster innovation and attract further investment.</w:t>
      </w:r>
    </w:p>
    <w:p w14:paraId="05577118" w14:textId="77777777" w:rsidR="006F59E5" w:rsidRPr="006F59E5" w:rsidRDefault="006F59E5" w:rsidP="006F59E5">
      <w:pPr>
        <w:rPr>
          <w:rFonts w:ascii="Calibri" w:hAnsi="Calibri" w:cs="Calibri"/>
          <w:sz w:val="24"/>
        </w:rPr>
      </w:pPr>
    </w:p>
    <w:p w14:paraId="707BC6F6" w14:textId="3BE7382C" w:rsidR="006F59E5" w:rsidRPr="00C652D8" w:rsidRDefault="006F59E5" w:rsidP="00C652D8">
      <w:pPr>
        <w:pStyle w:val="a9"/>
        <w:numPr>
          <w:ilvl w:val="0"/>
          <w:numId w:val="5"/>
        </w:numPr>
        <w:rPr>
          <w:rFonts w:ascii="Calibri" w:hAnsi="Calibri" w:cs="Calibri"/>
          <w:sz w:val="24"/>
        </w:rPr>
      </w:pPr>
      <w:r w:rsidRPr="00C652D8">
        <w:rPr>
          <w:rFonts w:ascii="Calibri" w:hAnsi="Calibri" w:cs="Calibri" w:hint="eastAsia"/>
          <w:sz w:val="24"/>
        </w:rPr>
        <w:t>Analysis</w:t>
      </w:r>
    </w:p>
    <w:p w14:paraId="578CC5E0" w14:textId="77777777" w:rsidR="006F59E5" w:rsidRPr="006F59E5" w:rsidRDefault="006F59E5" w:rsidP="006F59E5">
      <w:pPr>
        <w:rPr>
          <w:rFonts w:ascii="Calibri" w:hAnsi="Calibri" w:cs="Calibri"/>
          <w:sz w:val="24"/>
        </w:rPr>
      </w:pPr>
      <w:r w:rsidRPr="006F59E5">
        <w:rPr>
          <w:rFonts w:ascii="Calibri" w:hAnsi="Calibri" w:cs="Calibri"/>
          <w:sz w:val="24"/>
        </w:rPr>
        <w:t>This "Tech Prosperity Deal" signifies a deepening of the "special relationship" between the UK and the US, extending it firmly into the technological and scientific domains. For the UK, this partnership and the accompanying investment are a major boost to its ambitions of becoming a global tech and AI powerhouse. The creation of an "AI Growth Zone" and the focus on high-tech sectors are clear indicators of a strategic effort to drive economic growth, create high-skilled jobs, and position the UK at the forefront of the next wave of technological innovation.</w:t>
      </w:r>
    </w:p>
    <w:p w14:paraId="4E8FFB9D" w14:textId="77777777" w:rsidR="006F59E5" w:rsidRPr="006F59E5" w:rsidRDefault="006F59E5" w:rsidP="006F59E5">
      <w:pPr>
        <w:rPr>
          <w:rFonts w:ascii="Calibri" w:hAnsi="Calibri" w:cs="Calibri"/>
          <w:sz w:val="24"/>
        </w:rPr>
      </w:pPr>
      <w:r w:rsidRPr="006F59E5">
        <w:rPr>
          <w:rFonts w:ascii="Calibri" w:hAnsi="Calibri" w:cs="Calibri"/>
          <w:sz w:val="24"/>
        </w:rPr>
        <w:t>From a geopolitical perspective, this deal can be seen as an attempt by the two allies to create a counterweight to China's growing technological influence. By collaborating on critical technologies like AI, quantum computing, and next-generation energy, the UK and US are aiming to set international standards and maintain a competitive edge.</w:t>
      </w:r>
    </w:p>
    <w:p w14:paraId="04B49CB1" w14:textId="77777777" w:rsidR="006F59E5" w:rsidRDefault="006F59E5" w:rsidP="006F59E5">
      <w:pPr>
        <w:rPr>
          <w:rFonts w:ascii="Calibri" w:hAnsi="Calibri" w:cs="Calibri"/>
          <w:sz w:val="24"/>
        </w:rPr>
      </w:pPr>
      <w:r w:rsidRPr="006F59E5">
        <w:rPr>
          <w:rFonts w:ascii="Calibri" w:hAnsi="Calibri" w:cs="Calibri"/>
          <w:sz w:val="24"/>
        </w:rPr>
        <w:t xml:space="preserve">The focus on civil nuclear energy is also significant. With the global push for cleaner energy and the desire for energy independence, the agreement to fast-track nuclear </w:t>
      </w:r>
      <w:r w:rsidRPr="006F59E5">
        <w:rPr>
          <w:rFonts w:ascii="Calibri" w:hAnsi="Calibri" w:cs="Calibri"/>
          <w:sz w:val="24"/>
        </w:rPr>
        <w:lastRenderedPageBreak/>
        <w:t>projects is a strategic move to reduce reliance on volatile fossil fuel markets. This partnership has the potential to accelerate the deployment of new nuclear technologies, such as small modular reactors (SMRs).</w:t>
      </w:r>
    </w:p>
    <w:p w14:paraId="2C1AFDEB" w14:textId="77777777" w:rsidR="00C83925" w:rsidRDefault="00C83925" w:rsidP="006F59E5">
      <w:pPr>
        <w:rPr>
          <w:rFonts w:ascii="Calibri" w:hAnsi="Calibri" w:cs="Calibri"/>
          <w:sz w:val="24"/>
        </w:rPr>
      </w:pPr>
    </w:p>
    <w:p w14:paraId="6C759908" w14:textId="7185C50F" w:rsidR="00C83925" w:rsidRPr="00C83925" w:rsidRDefault="00C83925" w:rsidP="00C652D8">
      <w:pPr>
        <w:pStyle w:val="a9"/>
        <w:numPr>
          <w:ilvl w:val="0"/>
          <w:numId w:val="5"/>
        </w:numPr>
        <w:rPr>
          <w:rFonts w:ascii="Calibri" w:hAnsi="Calibri" w:cs="Calibri"/>
          <w:sz w:val="24"/>
        </w:rPr>
      </w:pPr>
      <w:r>
        <w:rPr>
          <w:rFonts w:ascii="Calibri" w:hAnsi="Calibri" w:cs="Calibri" w:hint="eastAsia"/>
          <w:sz w:val="24"/>
        </w:rPr>
        <w:t>Related Events</w:t>
      </w:r>
    </w:p>
    <w:p w14:paraId="72DC223E" w14:textId="77777777" w:rsidR="00C83925" w:rsidRDefault="00C83925" w:rsidP="00C83925">
      <w:pPr>
        <w:rPr>
          <w:rFonts w:ascii="Calibri" w:hAnsi="Calibri" w:cs="Calibri"/>
          <w:sz w:val="24"/>
        </w:rPr>
      </w:pPr>
      <w:r w:rsidRPr="00C83925">
        <w:rPr>
          <w:rFonts w:ascii="Calibri" w:hAnsi="Calibri" w:cs="Calibri"/>
          <w:b/>
          <w:bCs/>
          <w:sz w:val="24"/>
        </w:rPr>
        <w:t>Broader Transatlantic Trade De-escalation:</w:t>
      </w:r>
      <w:r w:rsidRPr="00C83925">
        <w:rPr>
          <w:rFonts w:ascii="Calibri" w:hAnsi="Calibri" w:cs="Calibri"/>
          <w:sz w:val="24"/>
        </w:rPr>
        <w:t xml:space="preserve"> The tech partnership follows a significant trade agreement in July 2025, where the UK and other European nations agreed to remove a range of tariffs on US products. This move signaled a significant de-escalation of previous trade tensions and fostered a more cooperative diplomatic climate. It's plausible that this goodwill gesture on trade was part of a larger, multifaceted negotiation that paved the way for the landmark Tech Prosperity Deal, representing a strategic alignment on both economic and technological fronts.</w:t>
      </w:r>
    </w:p>
    <w:p w14:paraId="007C0A50" w14:textId="1197426E" w:rsidR="00C83925" w:rsidRPr="00C83925" w:rsidRDefault="00C83925" w:rsidP="00C83925">
      <w:pPr>
        <w:jc w:val="center"/>
        <w:rPr>
          <w:rFonts w:ascii="Calibri" w:hAnsi="Calibri" w:cs="Calibri"/>
          <w:sz w:val="24"/>
        </w:rPr>
      </w:pPr>
      <w:r w:rsidRPr="00C83925">
        <w:rPr>
          <w:rFonts w:ascii="Calibri" w:hAnsi="Calibri" w:cs="Calibri" w:hint="eastAsia"/>
          <w:sz w:val="18"/>
          <w:szCs w:val="18"/>
        </w:rPr>
        <w:t>Reference:</w:t>
      </w:r>
      <w:r w:rsidRPr="00C83925">
        <w:rPr>
          <w:sz w:val="16"/>
          <w:szCs w:val="18"/>
        </w:rPr>
        <w:t xml:space="preserve"> </w:t>
      </w:r>
      <w:r w:rsidRPr="00C83925">
        <w:rPr>
          <w:rFonts w:ascii="Calibri" w:hAnsi="Calibri" w:cs="Calibri"/>
          <w:sz w:val="18"/>
          <w:szCs w:val="18"/>
        </w:rPr>
        <w:t>https://www.ft.com/content/460b7784-88d7-4324-9e4d-dc9692d15e72</w:t>
      </w:r>
    </w:p>
    <w:p w14:paraId="147CF5B8" w14:textId="71AFF711" w:rsidR="006F59E5" w:rsidRDefault="00C83925">
      <w:pPr>
        <w:rPr>
          <w:rFonts w:ascii="Calibri" w:hAnsi="Calibri" w:cs="Calibri"/>
          <w:sz w:val="24"/>
        </w:rPr>
      </w:pPr>
      <w:r w:rsidRPr="00C83925">
        <w:rPr>
          <w:rFonts w:ascii="Calibri" w:hAnsi="Calibri" w:cs="Calibri"/>
          <w:b/>
          <w:bCs/>
          <w:sz w:val="24"/>
        </w:rPr>
        <w:t>UK's National AI Strategy</w:t>
      </w:r>
      <w:r w:rsidRPr="00C83925">
        <w:rPr>
          <w:rFonts w:ascii="Calibri" w:hAnsi="Calibri" w:cs="Calibri"/>
          <w:sz w:val="24"/>
        </w:rPr>
        <w:t>: The UK government's "AI Opportunities Action Plan," published in January 2025, outlines a comprehensive strategy to make Britain a global leader in AI. The plan emphasizes the need for world-class computing infrastructure, access to talent, and the creation of a favorable regulatory environment. The new partnership with the US directly supports these goals.</w:t>
      </w:r>
    </w:p>
    <w:p w14:paraId="74D42ACE" w14:textId="6A2AD5E0" w:rsidR="00C83925" w:rsidRDefault="00C83925" w:rsidP="00C83925">
      <w:pPr>
        <w:jc w:val="center"/>
        <w:rPr>
          <w:rFonts w:ascii="Calibri" w:hAnsi="Calibri" w:cs="Calibri"/>
          <w:sz w:val="16"/>
          <w:szCs w:val="16"/>
        </w:rPr>
      </w:pPr>
      <w:r w:rsidRPr="00C83925">
        <w:rPr>
          <w:rFonts w:ascii="Calibri" w:hAnsi="Calibri" w:cs="Calibri" w:hint="eastAsia"/>
          <w:sz w:val="16"/>
          <w:szCs w:val="16"/>
        </w:rPr>
        <w:t>Reference:</w:t>
      </w:r>
      <w:r w:rsidRPr="00C83925">
        <w:rPr>
          <w:sz w:val="15"/>
          <w:szCs w:val="16"/>
        </w:rPr>
        <w:t xml:space="preserve"> </w:t>
      </w:r>
      <w:hyperlink r:id="rId5" w:history="1">
        <w:r w:rsidRPr="001615F0">
          <w:rPr>
            <w:rStyle w:val="ae"/>
            <w:rFonts w:ascii="Calibri" w:hAnsi="Calibri" w:cs="Calibri"/>
            <w:sz w:val="16"/>
            <w:szCs w:val="16"/>
          </w:rPr>
          <w:t>https://www.gov.uk/government/publications/ai-opportunities-action-plan/ai-opportunities-action-plan</w:t>
        </w:r>
      </w:hyperlink>
    </w:p>
    <w:p w14:paraId="1EF0DC27" w14:textId="77777777" w:rsidR="00C652D8" w:rsidRDefault="00C652D8" w:rsidP="00C83925">
      <w:pPr>
        <w:jc w:val="center"/>
        <w:rPr>
          <w:rFonts w:ascii="Calibri" w:hAnsi="Calibri" w:cs="Calibri"/>
          <w:sz w:val="16"/>
          <w:szCs w:val="16"/>
        </w:rPr>
      </w:pPr>
    </w:p>
    <w:p w14:paraId="3BEF33D2" w14:textId="43773903" w:rsidR="00C8080B" w:rsidRDefault="00C8080B" w:rsidP="00C652D8">
      <w:pPr>
        <w:pStyle w:val="a9"/>
        <w:numPr>
          <w:ilvl w:val="0"/>
          <w:numId w:val="5"/>
        </w:numPr>
        <w:rPr>
          <w:rFonts w:ascii="Calibri" w:hAnsi="Calibri" w:cs="Calibri"/>
          <w:sz w:val="24"/>
        </w:rPr>
      </w:pPr>
      <w:r>
        <w:rPr>
          <w:rFonts w:ascii="Calibri" w:hAnsi="Calibri" w:cs="Calibri" w:hint="eastAsia"/>
          <w:sz w:val="24"/>
        </w:rPr>
        <w:t>Trading Ideas</w:t>
      </w:r>
    </w:p>
    <w:p w14:paraId="6EF5396F" w14:textId="77777777" w:rsidR="00467A26" w:rsidRDefault="00467A26" w:rsidP="00467A26">
      <w:pPr>
        <w:pStyle w:val="a9"/>
        <w:ind w:left="360"/>
        <w:rPr>
          <w:rFonts w:ascii="Calibri" w:hAnsi="Calibri" w:cs="Calibri"/>
          <w:sz w:val="24"/>
        </w:rPr>
      </w:pPr>
    </w:p>
    <w:p w14:paraId="1E363E48" w14:textId="77777777" w:rsidR="00C8080B" w:rsidRPr="00C8080B" w:rsidRDefault="00C8080B" w:rsidP="00C8080B">
      <w:pPr>
        <w:rPr>
          <w:rFonts w:ascii="Calibri" w:hAnsi="Calibri" w:cs="Calibri"/>
          <w:b/>
          <w:bCs/>
          <w:sz w:val="24"/>
        </w:rPr>
      </w:pPr>
      <w:r w:rsidRPr="00C8080B">
        <w:rPr>
          <w:rFonts w:ascii="Calibri" w:hAnsi="Calibri" w:cs="Calibri"/>
          <w:b/>
          <w:bCs/>
          <w:sz w:val="24"/>
        </w:rPr>
        <w:t>AI &amp; Digital Infrastructure Stocks</w:t>
      </w:r>
    </w:p>
    <w:p w14:paraId="220014DE" w14:textId="77777777" w:rsidR="00C8080B" w:rsidRPr="00C8080B" w:rsidRDefault="00C8080B" w:rsidP="00C8080B">
      <w:pPr>
        <w:rPr>
          <w:rFonts w:ascii="Calibri" w:hAnsi="Calibri" w:cs="Calibri"/>
          <w:sz w:val="24"/>
        </w:rPr>
      </w:pPr>
      <w:r w:rsidRPr="00C8080B">
        <w:rPr>
          <w:rFonts w:ascii="Calibri" w:hAnsi="Calibri" w:cs="Calibri"/>
          <w:sz w:val="24"/>
        </w:rPr>
        <w:t>The direct investors and key hardware suppliers saw significant gains following the announcement, as the market priced in the massive £31 billion investment into UK-based AI infrastructure.</w:t>
      </w:r>
    </w:p>
    <w:tbl>
      <w:tblPr>
        <w:tblW w:w="9915" w:type="dxa"/>
        <w:tblCellMar>
          <w:left w:w="0" w:type="dxa"/>
          <w:right w:w="0" w:type="dxa"/>
        </w:tblCellMar>
        <w:tblLook w:val="04A0" w:firstRow="1" w:lastRow="0" w:firstColumn="1" w:lastColumn="0" w:noHBand="0" w:noVBand="1"/>
      </w:tblPr>
      <w:tblGrid>
        <w:gridCol w:w="1180"/>
        <w:gridCol w:w="812"/>
        <w:gridCol w:w="976"/>
        <w:gridCol w:w="976"/>
        <w:gridCol w:w="924"/>
        <w:gridCol w:w="974"/>
        <w:gridCol w:w="4073"/>
      </w:tblGrid>
      <w:tr w:rsidR="00C8080B" w:rsidRPr="00C8080B" w14:paraId="6F1DAEC7" w14:textId="77777777" w:rsidTr="00C8080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66EAEA" w14:textId="77777777" w:rsidR="00C8080B" w:rsidRPr="00C8080B" w:rsidRDefault="00C8080B" w:rsidP="00C8080B">
            <w:pPr>
              <w:rPr>
                <w:rFonts w:ascii="Calibri" w:hAnsi="Calibri" w:cs="Calibri"/>
                <w:sz w:val="24"/>
              </w:rPr>
            </w:pPr>
            <w:r w:rsidRPr="00C8080B">
              <w:rPr>
                <w:rFonts w:ascii="Calibri" w:hAnsi="Calibri" w:cs="Calibri"/>
                <w:sz w:val="24"/>
              </w:rPr>
              <w:t>Company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4EE7AE" w14:textId="77777777" w:rsidR="00C8080B" w:rsidRPr="00C8080B" w:rsidRDefault="00C8080B" w:rsidP="00C8080B">
            <w:pPr>
              <w:rPr>
                <w:rFonts w:ascii="Calibri" w:hAnsi="Calibri" w:cs="Calibri"/>
                <w:sz w:val="24"/>
              </w:rPr>
            </w:pPr>
            <w:r w:rsidRPr="00C8080B">
              <w:rPr>
                <w:rFonts w:ascii="Calibri" w:hAnsi="Calibri" w:cs="Calibri"/>
                <w:sz w:val="24"/>
              </w:rPr>
              <w:t>Ticker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ABB6E" w14:textId="77777777" w:rsidR="00C8080B" w:rsidRPr="00C8080B" w:rsidRDefault="00C8080B" w:rsidP="00C8080B">
            <w:pPr>
              <w:rPr>
                <w:rFonts w:ascii="Calibri" w:hAnsi="Calibri" w:cs="Calibri"/>
                <w:sz w:val="24"/>
              </w:rPr>
            </w:pPr>
            <w:r w:rsidRPr="00C8080B">
              <w:rPr>
                <w:rFonts w:ascii="Calibri" w:hAnsi="Calibri" w:cs="Calibri"/>
                <w:sz w:val="24"/>
              </w:rPr>
              <w:t>Price (Sep 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952DCC" w14:textId="77777777" w:rsidR="00C8080B" w:rsidRPr="00C8080B" w:rsidRDefault="00C8080B" w:rsidP="00C8080B">
            <w:pPr>
              <w:rPr>
                <w:rFonts w:ascii="Calibri" w:hAnsi="Calibri" w:cs="Calibri"/>
                <w:sz w:val="24"/>
              </w:rPr>
            </w:pPr>
            <w:r w:rsidRPr="00C8080B">
              <w:rPr>
                <w:rFonts w:ascii="Calibri" w:hAnsi="Calibri" w:cs="Calibri"/>
                <w:sz w:val="24"/>
              </w:rPr>
              <w:t>Price (Sep 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AC5D9" w14:textId="77777777" w:rsidR="00C8080B" w:rsidRPr="00C8080B" w:rsidRDefault="00C8080B" w:rsidP="00C8080B">
            <w:pPr>
              <w:rPr>
                <w:rFonts w:ascii="Calibri" w:hAnsi="Calibri" w:cs="Calibri"/>
                <w:sz w:val="24"/>
              </w:rPr>
            </w:pPr>
            <w:r w:rsidRPr="00C8080B">
              <w:rPr>
                <w:rFonts w:ascii="Calibri" w:hAnsi="Calibri" w:cs="Calibri"/>
                <w:sz w:val="24"/>
              </w:rPr>
              <w:t>Change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54EE67" w14:textId="77777777" w:rsidR="00C8080B" w:rsidRPr="00C8080B" w:rsidRDefault="00C8080B" w:rsidP="00C8080B">
            <w:pPr>
              <w:rPr>
                <w:rFonts w:ascii="Calibri" w:hAnsi="Calibri" w:cs="Calibri"/>
                <w:sz w:val="24"/>
              </w:rPr>
            </w:pPr>
            <w:r w:rsidRPr="00C8080B">
              <w:rPr>
                <w:rFonts w:ascii="Calibri" w:hAnsi="Calibri" w:cs="Calibri"/>
                <w:sz w:val="24"/>
              </w:rPr>
              <w:t>Change (%)</w:t>
            </w:r>
          </w:p>
        </w:tc>
        <w:tc>
          <w:tcPr>
            <w:tcW w:w="4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A8D5B" w14:textId="77777777" w:rsidR="00C8080B" w:rsidRPr="00C8080B" w:rsidRDefault="00C8080B" w:rsidP="00C8080B">
            <w:pPr>
              <w:rPr>
                <w:rFonts w:ascii="Calibri" w:hAnsi="Calibri" w:cs="Calibri"/>
                <w:sz w:val="24"/>
              </w:rPr>
            </w:pPr>
            <w:r w:rsidRPr="00C8080B">
              <w:rPr>
                <w:rFonts w:ascii="Calibri" w:hAnsi="Calibri" w:cs="Calibri"/>
                <w:sz w:val="24"/>
              </w:rPr>
              <w:t>Weekly Context</w:t>
            </w:r>
          </w:p>
        </w:tc>
      </w:tr>
      <w:tr w:rsidR="00C8080B" w:rsidRPr="00C8080B" w14:paraId="68C5B36E" w14:textId="77777777" w:rsidTr="00C8080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6F683" w14:textId="77777777" w:rsidR="00C8080B" w:rsidRPr="00C8080B" w:rsidRDefault="00C8080B" w:rsidP="00C8080B">
            <w:pPr>
              <w:rPr>
                <w:rFonts w:ascii="Calibri" w:hAnsi="Calibri" w:cs="Calibri"/>
                <w:sz w:val="24"/>
              </w:rPr>
            </w:pPr>
            <w:r w:rsidRPr="00C8080B">
              <w:rPr>
                <w:rFonts w:ascii="Calibri" w:hAnsi="Calibri" w:cs="Calibri"/>
                <w:sz w:val="24"/>
              </w:rPr>
              <w:t>NVIDIA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EBE0EC" w14:textId="77777777" w:rsidR="00C8080B" w:rsidRPr="00C8080B" w:rsidRDefault="00C8080B" w:rsidP="00C8080B">
            <w:pPr>
              <w:rPr>
                <w:rFonts w:ascii="Calibri" w:hAnsi="Calibri" w:cs="Calibri"/>
                <w:sz w:val="24"/>
              </w:rPr>
            </w:pPr>
            <w:r w:rsidRPr="00C8080B">
              <w:rPr>
                <w:rFonts w:ascii="Calibri" w:hAnsi="Calibri" w:cs="Calibri"/>
                <w:sz w:val="24"/>
              </w:rPr>
              <w:t>NVDA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2095B4" w14:textId="77777777" w:rsidR="00C8080B" w:rsidRPr="00C8080B" w:rsidRDefault="00C8080B" w:rsidP="00C8080B">
            <w:pPr>
              <w:rPr>
                <w:rFonts w:ascii="Calibri" w:hAnsi="Calibri" w:cs="Calibri"/>
                <w:sz w:val="24"/>
              </w:rPr>
            </w:pPr>
            <w:r w:rsidRPr="00C8080B">
              <w:rPr>
                <w:rFonts w:ascii="Calibri" w:hAnsi="Calibri" w:cs="Calibri"/>
                <w:sz w:val="24"/>
              </w:rPr>
              <w:t>$131.50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BD750" w14:textId="77777777" w:rsidR="00C8080B" w:rsidRPr="00C8080B" w:rsidRDefault="00C8080B" w:rsidP="00C8080B">
            <w:pPr>
              <w:rPr>
                <w:rFonts w:ascii="Calibri" w:hAnsi="Calibri" w:cs="Calibri"/>
                <w:sz w:val="24"/>
              </w:rPr>
            </w:pPr>
            <w:r w:rsidRPr="00C8080B">
              <w:rPr>
                <w:rFonts w:ascii="Calibri" w:hAnsi="Calibri" w:cs="Calibri"/>
                <w:sz w:val="24"/>
              </w:rPr>
              <w:t>$149.25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FBF07" w14:textId="77777777" w:rsidR="00C8080B" w:rsidRPr="00C8080B" w:rsidRDefault="00C8080B" w:rsidP="00C8080B">
            <w:pPr>
              <w:rPr>
                <w:rFonts w:ascii="Calibri" w:hAnsi="Calibri" w:cs="Calibri"/>
                <w:sz w:val="24"/>
              </w:rPr>
            </w:pPr>
            <w:r w:rsidRPr="00C8080B">
              <w:rPr>
                <w:rFonts w:ascii="Calibri" w:hAnsi="Calibri" w:cs="Calibri"/>
                <w:sz w:val="24"/>
              </w:rPr>
              <w:t>+$17.75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03467" w14:textId="77777777" w:rsidR="00C8080B" w:rsidRPr="00C8080B" w:rsidRDefault="00C8080B" w:rsidP="00C8080B">
            <w:pPr>
              <w:rPr>
                <w:rFonts w:ascii="Calibri" w:hAnsi="Calibri" w:cs="Calibri"/>
                <w:sz w:val="24"/>
              </w:rPr>
            </w:pPr>
            <w:r w:rsidRPr="00C8080B">
              <w:rPr>
                <w:rFonts w:ascii="Calibri" w:hAnsi="Calibri" w:cs="Calibri"/>
                <w:sz w:val="24"/>
              </w:rPr>
              <w:t>+13.50%</w:t>
            </w:r>
          </w:p>
        </w:tc>
        <w:tc>
          <w:tcPr>
            <w:tcW w:w="407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9172A7C" w14:textId="77777777" w:rsidR="00C8080B" w:rsidRPr="00C8080B" w:rsidRDefault="00C8080B" w:rsidP="00C8080B">
            <w:pPr>
              <w:rPr>
                <w:rFonts w:ascii="Calibri" w:hAnsi="Calibri" w:cs="Calibri"/>
                <w:sz w:val="24"/>
              </w:rPr>
            </w:pPr>
            <w:r w:rsidRPr="00C8080B">
              <w:rPr>
                <w:rFonts w:ascii="Calibri" w:hAnsi="Calibri" w:cs="Calibri"/>
                <w:sz w:val="24"/>
              </w:rPr>
              <w:t>A lead investor; surge reflects its central role in supplying the necessary AI hardware.</w:t>
            </w:r>
          </w:p>
        </w:tc>
      </w:tr>
      <w:tr w:rsidR="00C8080B" w:rsidRPr="00C8080B" w14:paraId="57E01050" w14:textId="77777777" w:rsidTr="00C8080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8181BE" w14:textId="77777777" w:rsidR="00C8080B" w:rsidRPr="00C8080B" w:rsidRDefault="00C8080B" w:rsidP="00C8080B">
            <w:pPr>
              <w:rPr>
                <w:rFonts w:ascii="Calibri" w:hAnsi="Calibri" w:cs="Calibri"/>
                <w:sz w:val="24"/>
              </w:rPr>
            </w:pPr>
            <w:r w:rsidRPr="00C8080B">
              <w:rPr>
                <w:rFonts w:ascii="Calibri" w:hAnsi="Calibri" w:cs="Calibri"/>
                <w:sz w:val="24"/>
              </w:rPr>
              <w:lastRenderedPageBreak/>
              <w:t>Microsoft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5B1664" w14:textId="77777777" w:rsidR="00C8080B" w:rsidRPr="00C8080B" w:rsidRDefault="00C8080B" w:rsidP="00C8080B">
            <w:pPr>
              <w:rPr>
                <w:rFonts w:ascii="Calibri" w:hAnsi="Calibri" w:cs="Calibri"/>
                <w:sz w:val="24"/>
              </w:rPr>
            </w:pPr>
            <w:r w:rsidRPr="00C8080B">
              <w:rPr>
                <w:rFonts w:ascii="Calibri" w:hAnsi="Calibri" w:cs="Calibri"/>
                <w:sz w:val="24"/>
              </w:rPr>
              <w:t>MSFT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76AEEE" w14:textId="77777777" w:rsidR="00C8080B" w:rsidRPr="00C8080B" w:rsidRDefault="00C8080B" w:rsidP="00C8080B">
            <w:pPr>
              <w:rPr>
                <w:rFonts w:ascii="Calibri" w:hAnsi="Calibri" w:cs="Calibri"/>
                <w:sz w:val="24"/>
              </w:rPr>
            </w:pPr>
            <w:r w:rsidRPr="00C8080B">
              <w:rPr>
                <w:rFonts w:ascii="Calibri" w:hAnsi="Calibri" w:cs="Calibri"/>
                <w:sz w:val="24"/>
              </w:rPr>
              <w:t>$455.10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21A791" w14:textId="77777777" w:rsidR="00C8080B" w:rsidRPr="00C8080B" w:rsidRDefault="00C8080B" w:rsidP="00C8080B">
            <w:pPr>
              <w:rPr>
                <w:rFonts w:ascii="Calibri" w:hAnsi="Calibri" w:cs="Calibri"/>
                <w:sz w:val="24"/>
              </w:rPr>
            </w:pPr>
            <w:r w:rsidRPr="00C8080B">
              <w:rPr>
                <w:rFonts w:ascii="Calibri" w:hAnsi="Calibri" w:cs="Calibri"/>
                <w:sz w:val="24"/>
              </w:rPr>
              <w:t>$493.50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264DFB" w14:textId="77777777" w:rsidR="00C8080B" w:rsidRPr="00C8080B" w:rsidRDefault="00C8080B" w:rsidP="00C8080B">
            <w:pPr>
              <w:rPr>
                <w:rFonts w:ascii="Calibri" w:hAnsi="Calibri" w:cs="Calibri"/>
                <w:sz w:val="24"/>
              </w:rPr>
            </w:pPr>
            <w:r w:rsidRPr="00C8080B">
              <w:rPr>
                <w:rFonts w:ascii="Calibri" w:hAnsi="Calibri" w:cs="Calibri"/>
                <w:sz w:val="24"/>
              </w:rPr>
              <w:t>+$38.40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A43AB" w14:textId="77777777" w:rsidR="00C8080B" w:rsidRPr="00C8080B" w:rsidRDefault="00C8080B" w:rsidP="00C8080B">
            <w:pPr>
              <w:rPr>
                <w:rFonts w:ascii="Calibri" w:hAnsi="Calibri" w:cs="Calibri"/>
                <w:sz w:val="24"/>
              </w:rPr>
            </w:pPr>
            <w:r w:rsidRPr="00C8080B">
              <w:rPr>
                <w:rFonts w:ascii="Calibri" w:hAnsi="Calibri" w:cs="Calibri"/>
                <w:sz w:val="24"/>
              </w:rPr>
              <w:t>+8.44%</w:t>
            </w:r>
          </w:p>
        </w:tc>
        <w:tc>
          <w:tcPr>
            <w:tcW w:w="407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852B46A" w14:textId="77777777" w:rsidR="00C8080B" w:rsidRPr="00C8080B" w:rsidRDefault="00C8080B" w:rsidP="00C8080B">
            <w:pPr>
              <w:rPr>
                <w:rFonts w:ascii="Calibri" w:hAnsi="Calibri" w:cs="Calibri"/>
                <w:sz w:val="24"/>
              </w:rPr>
            </w:pPr>
            <w:r w:rsidRPr="00C8080B">
              <w:rPr>
                <w:rFonts w:ascii="Calibri" w:hAnsi="Calibri" w:cs="Calibri"/>
                <w:sz w:val="24"/>
              </w:rPr>
              <w:t>A major investor; gains reflect the expected expansion of its Azure AI services in the UK.</w:t>
            </w:r>
          </w:p>
        </w:tc>
      </w:tr>
      <w:tr w:rsidR="00C8080B" w:rsidRPr="00C8080B" w14:paraId="02D4CA67" w14:textId="77777777" w:rsidTr="00C8080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EA3AE" w14:textId="77777777" w:rsidR="00C8080B" w:rsidRPr="00C8080B" w:rsidRDefault="00C8080B" w:rsidP="00C8080B">
            <w:pPr>
              <w:rPr>
                <w:rFonts w:ascii="Calibri" w:hAnsi="Calibri" w:cs="Calibri"/>
                <w:sz w:val="24"/>
              </w:rPr>
            </w:pPr>
            <w:r w:rsidRPr="00C8080B">
              <w:rPr>
                <w:rFonts w:ascii="Calibri" w:hAnsi="Calibri" w:cs="Calibri"/>
                <w:sz w:val="24"/>
              </w:rPr>
              <w:t>Alphabet (Google)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A2326" w14:textId="77777777" w:rsidR="00C8080B" w:rsidRPr="00C8080B" w:rsidRDefault="00C8080B" w:rsidP="00C8080B">
            <w:pPr>
              <w:rPr>
                <w:rFonts w:ascii="Calibri" w:hAnsi="Calibri" w:cs="Calibri"/>
                <w:sz w:val="24"/>
              </w:rPr>
            </w:pPr>
            <w:r w:rsidRPr="00C8080B">
              <w:rPr>
                <w:rFonts w:ascii="Calibri" w:hAnsi="Calibri" w:cs="Calibri"/>
                <w:sz w:val="24"/>
              </w:rPr>
              <w:t>GOOGL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359F2" w14:textId="77777777" w:rsidR="00C8080B" w:rsidRPr="00C8080B" w:rsidRDefault="00C8080B" w:rsidP="00C8080B">
            <w:pPr>
              <w:rPr>
                <w:rFonts w:ascii="Calibri" w:hAnsi="Calibri" w:cs="Calibri"/>
                <w:sz w:val="24"/>
              </w:rPr>
            </w:pPr>
            <w:r w:rsidRPr="00C8080B">
              <w:rPr>
                <w:rFonts w:ascii="Calibri" w:hAnsi="Calibri" w:cs="Calibri"/>
                <w:sz w:val="24"/>
              </w:rPr>
              <w:t>$180.20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7E7D8C" w14:textId="77777777" w:rsidR="00C8080B" w:rsidRPr="00C8080B" w:rsidRDefault="00C8080B" w:rsidP="00C8080B">
            <w:pPr>
              <w:rPr>
                <w:rFonts w:ascii="Calibri" w:hAnsi="Calibri" w:cs="Calibri"/>
                <w:sz w:val="24"/>
              </w:rPr>
            </w:pPr>
            <w:r w:rsidRPr="00C8080B">
              <w:rPr>
                <w:rFonts w:ascii="Calibri" w:hAnsi="Calibri" w:cs="Calibri"/>
                <w:sz w:val="24"/>
              </w:rPr>
              <w:t>$193.10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31529" w14:textId="77777777" w:rsidR="00C8080B" w:rsidRPr="00C8080B" w:rsidRDefault="00C8080B" w:rsidP="00C8080B">
            <w:pPr>
              <w:rPr>
                <w:rFonts w:ascii="Calibri" w:hAnsi="Calibri" w:cs="Calibri"/>
                <w:sz w:val="24"/>
              </w:rPr>
            </w:pPr>
            <w:r w:rsidRPr="00C8080B">
              <w:rPr>
                <w:rFonts w:ascii="Calibri" w:hAnsi="Calibri" w:cs="Calibri"/>
                <w:sz w:val="24"/>
              </w:rPr>
              <w:t>+$12.90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6FB3AB" w14:textId="77777777" w:rsidR="00C8080B" w:rsidRPr="00C8080B" w:rsidRDefault="00C8080B" w:rsidP="00C8080B">
            <w:pPr>
              <w:rPr>
                <w:rFonts w:ascii="Calibri" w:hAnsi="Calibri" w:cs="Calibri"/>
                <w:sz w:val="24"/>
              </w:rPr>
            </w:pPr>
            <w:r w:rsidRPr="00C8080B">
              <w:rPr>
                <w:rFonts w:ascii="Calibri" w:hAnsi="Calibri" w:cs="Calibri"/>
                <w:sz w:val="24"/>
              </w:rPr>
              <w:t>+7.16%</w:t>
            </w:r>
          </w:p>
        </w:tc>
        <w:tc>
          <w:tcPr>
            <w:tcW w:w="407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E4C5E91" w14:textId="0A098E54" w:rsidR="00C8080B" w:rsidRPr="00C8080B" w:rsidRDefault="00C8080B" w:rsidP="00C8080B">
            <w:pPr>
              <w:rPr>
                <w:rFonts w:ascii="Calibri" w:hAnsi="Calibri" w:cs="Calibri"/>
                <w:szCs w:val="22"/>
              </w:rPr>
            </w:pPr>
            <w:r w:rsidRPr="00C8080B">
              <w:rPr>
                <w:rFonts w:ascii="Calibri" w:hAnsi="Calibri" w:cs="Calibri"/>
                <w:szCs w:val="22"/>
              </w:rPr>
              <w:t>Investor in the deal; stock rose on plans to expand its UK data centers and AI</w:t>
            </w:r>
            <w:r w:rsidR="003A6AFF" w:rsidRPr="003A6AFF">
              <w:rPr>
                <w:rFonts w:ascii="Calibri" w:hAnsi="Calibri" w:cs="Calibri" w:hint="eastAsia"/>
                <w:szCs w:val="22"/>
              </w:rPr>
              <w:t xml:space="preserve"> </w:t>
            </w:r>
            <w:r w:rsidRPr="00C8080B">
              <w:rPr>
                <w:rFonts w:ascii="Calibri" w:hAnsi="Calibri" w:cs="Calibri"/>
                <w:szCs w:val="22"/>
              </w:rPr>
              <w:t>research.</w:t>
            </w:r>
          </w:p>
        </w:tc>
      </w:tr>
      <w:tr w:rsidR="00C8080B" w:rsidRPr="00C8080B" w14:paraId="2E447B90" w14:textId="77777777" w:rsidTr="00C8080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59049" w14:textId="77777777" w:rsidR="00C8080B" w:rsidRPr="00C8080B" w:rsidRDefault="00C8080B" w:rsidP="00C8080B">
            <w:pPr>
              <w:rPr>
                <w:rFonts w:ascii="Calibri" w:hAnsi="Calibri" w:cs="Calibri"/>
                <w:sz w:val="24"/>
              </w:rPr>
            </w:pPr>
            <w:r w:rsidRPr="00C8080B">
              <w:rPr>
                <w:rFonts w:ascii="Calibri" w:hAnsi="Calibri" w:cs="Calibri"/>
                <w:sz w:val="24"/>
              </w:rPr>
              <w:t>Arm Holdings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D0336" w14:textId="77777777" w:rsidR="00C8080B" w:rsidRPr="00C8080B" w:rsidRDefault="00C8080B" w:rsidP="00C8080B">
            <w:pPr>
              <w:rPr>
                <w:rFonts w:ascii="Calibri" w:hAnsi="Calibri" w:cs="Calibri"/>
                <w:sz w:val="24"/>
              </w:rPr>
            </w:pPr>
            <w:r w:rsidRPr="00C8080B">
              <w:rPr>
                <w:rFonts w:ascii="Calibri" w:hAnsi="Calibri" w:cs="Calibri"/>
                <w:sz w:val="24"/>
              </w:rPr>
              <w:t>ARM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50EC0F" w14:textId="77777777" w:rsidR="00C8080B" w:rsidRPr="00C8080B" w:rsidRDefault="00C8080B" w:rsidP="00C8080B">
            <w:pPr>
              <w:rPr>
                <w:rFonts w:ascii="Calibri" w:hAnsi="Calibri" w:cs="Calibri"/>
                <w:sz w:val="24"/>
              </w:rPr>
            </w:pPr>
            <w:r w:rsidRPr="00C8080B">
              <w:rPr>
                <w:rFonts w:ascii="Calibri" w:hAnsi="Calibri" w:cs="Calibri"/>
                <w:sz w:val="24"/>
              </w:rPr>
              <w:t>$165.40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7CD330" w14:textId="77777777" w:rsidR="00C8080B" w:rsidRPr="00C8080B" w:rsidRDefault="00C8080B" w:rsidP="00C8080B">
            <w:pPr>
              <w:rPr>
                <w:rFonts w:ascii="Calibri" w:hAnsi="Calibri" w:cs="Calibri"/>
                <w:sz w:val="24"/>
              </w:rPr>
            </w:pPr>
            <w:r w:rsidRPr="00C8080B">
              <w:rPr>
                <w:rFonts w:ascii="Calibri" w:hAnsi="Calibri" w:cs="Calibri"/>
                <w:sz w:val="24"/>
              </w:rPr>
              <w:t>$191.85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BECD2D" w14:textId="77777777" w:rsidR="00C8080B" w:rsidRPr="00C8080B" w:rsidRDefault="00C8080B" w:rsidP="00C8080B">
            <w:pPr>
              <w:rPr>
                <w:rFonts w:ascii="Calibri" w:hAnsi="Calibri" w:cs="Calibri"/>
                <w:sz w:val="24"/>
              </w:rPr>
            </w:pPr>
            <w:r w:rsidRPr="00C8080B">
              <w:rPr>
                <w:rFonts w:ascii="Calibri" w:hAnsi="Calibri" w:cs="Calibri"/>
                <w:sz w:val="24"/>
              </w:rPr>
              <w:t>+$26.45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D21131" w14:textId="77777777" w:rsidR="00C8080B" w:rsidRPr="00C8080B" w:rsidRDefault="00C8080B" w:rsidP="00C8080B">
            <w:pPr>
              <w:rPr>
                <w:rFonts w:ascii="Calibri" w:hAnsi="Calibri" w:cs="Calibri"/>
                <w:sz w:val="24"/>
              </w:rPr>
            </w:pPr>
            <w:r w:rsidRPr="00C8080B">
              <w:rPr>
                <w:rFonts w:ascii="Calibri" w:hAnsi="Calibri" w:cs="Calibri"/>
                <w:sz w:val="24"/>
              </w:rPr>
              <w:t>+16.00%</w:t>
            </w:r>
          </w:p>
        </w:tc>
        <w:tc>
          <w:tcPr>
            <w:tcW w:w="407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7EA301C" w14:textId="77777777" w:rsidR="00C8080B" w:rsidRPr="00C8080B" w:rsidRDefault="00C8080B" w:rsidP="00C8080B">
            <w:pPr>
              <w:rPr>
                <w:rFonts w:ascii="Calibri" w:hAnsi="Calibri" w:cs="Calibri"/>
                <w:sz w:val="24"/>
              </w:rPr>
            </w:pPr>
            <w:r w:rsidRPr="00C8080B">
              <w:rPr>
                <w:rFonts w:ascii="Calibri" w:hAnsi="Calibri" w:cs="Calibri"/>
                <w:sz w:val="24"/>
              </w:rPr>
              <w:t>UK-based tech partner; saw the largest jump as the deal solidifies its role in global AI.</w:t>
            </w:r>
          </w:p>
        </w:tc>
      </w:tr>
      <w:tr w:rsidR="00C8080B" w:rsidRPr="00C8080B" w14:paraId="379CE786" w14:textId="77777777" w:rsidTr="00C8080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5118A" w14:textId="77777777" w:rsidR="00C8080B" w:rsidRPr="00C8080B" w:rsidRDefault="00C8080B" w:rsidP="00C8080B">
            <w:pPr>
              <w:rPr>
                <w:rFonts w:ascii="Calibri" w:hAnsi="Calibri" w:cs="Calibri"/>
                <w:sz w:val="24"/>
              </w:rPr>
            </w:pPr>
            <w:r w:rsidRPr="00C8080B">
              <w:rPr>
                <w:rFonts w:ascii="Calibri" w:hAnsi="Calibri" w:cs="Calibri"/>
                <w:sz w:val="24"/>
              </w:rPr>
              <w:t>Digital Realty Trust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BEA6E3" w14:textId="77777777" w:rsidR="00C8080B" w:rsidRPr="00C8080B" w:rsidRDefault="00C8080B" w:rsidP="00C8080B">
            <w:pPr>
              <w:rPr>
                <w:rFonts w:ascii="Calibri" w:hAnsi="Calibri" w:cs="Calibri"/>
                <w:sz w:val="24"/>
              </w:rPr>
            </w:pPr>
            <w:r w:rsidRPr="00C8080B">
              <w:rPr>
                <w:rFonts w:ascii="Calibri" w:hAnsi="Calibri" w:cs="Calibri"/>
                <w:sz w:val="24"/>
              </w:rPr>
              <w:t>DLR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151E72" w14:textId="77777777" w:rsidR="00C8080B" w:rsidRPr="00C8080B" w:rsidRDefault="00C8080B" w:rsidP="00C8080B">
            <w:pPr>
              <w:rPr>
                <w:rFonts w:ascii="Calibri" w:hAnsi="Calibri" w:cs="Calibri"/>
                <w:sz w:val="24"/>
              </w:rPr>
            </w:pPr>
            <w:r w:rsidRPr="00C8080B">
              <w:rPr>
                <w:rFonts w:ascii="Calibri" w:hAnsi="Calibri" w:cs="Calibri"/>
                <w:sz w:val="24"/>
              </w:rPr>
              <w:t>$148.30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3DB5F0" w14:textId="77777777" w:rsidR="00C8080B" w:rsidRPr="00C8080B" w:rsidRDefault="00C8080B" w:rsidP="00C8080B">
            <w:pPr>
              <w:rPr>
                <w:rFonts w:ascii="Calibri" w:hAnsi="Calibri" w:cs="Calibri"/>
                <w:sz w:val="24"/>
              </w:rPr>
            </w:pPr>
            <w:r w:rsidRPr="00C8080B">
              <w:rPr>
                <w:rFonts w:ascii="Calibri" w:hAnsi="Calibri" w:cs="Calibri"/>
                <w:sz w:val="24"/>
              </w:rPr>
              <w:t>$158.80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796658" w14:textId="77777777" w:rsidR="00C8080B" w:rsidRPr="00C8080B" w:rsidRDefault="00C8080B" w:rsidP="00C8080B">
            <w:pPr>
              <w:rPr>
                <w:rFonts w:ascii="Calibri" w:hAnsi="Calibri" w:cs="Calibri"/>
                <w:sz w:val="24"/>
              </w:rPr>
            </w:pPr>
            <w:r w:rsidRPr="00C8080B">
              <w:rPr>
                <w:rFonts w:ascii="Calibri" w:hAnsi="Calibri" w:cs="Calibri"/>
                <w:sz w:val="24"/>
              </w:rPr>
              <w:t>+$10.50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8139D" w14:textId="77777777" w:rsidR="00C8080B" w:rsidRPr="00C8080B" w:rsidRDefault="00C8080B" w:rsidP="00C8080B">
            <w:pPr>
              <w:rPr>
                <w:rFonts w:ascii="Calibri" w:hAnsi="Calibri" w:cs="Calibri"/>
                <w:sz w:val="24"/>
              </w:rPr>
            </w:pPr>
            <w:r w:rsidRPr="00C8080B">
              <w:rPr>
                <w:rFonts w:ascii="Calibri" w:hAnsi="Calibri" w:cs="Calibri"/>
                <w:sz w:val="24"/>
              </w:rPr>
              <w:t>+7.08%</w:t>
            </w:r>
          </w:p>
        </w:tc>
        <w:tc>
          <w:tcPr>
            <w:tcW w:w="407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1F5391E" w14:textId="77777777" w:rsidR="00C8080B" w:rsidRPr="00C8080B" w:rsidRDefault="00C8080B" w:rsidP="00C8080B">
            <w:pPr>
              <w:rPr>
                <w:rFonts w:ascii="Calibri" w:hAnsi="Calibri" w:cs="Calibri"/>
                <w:sz w:val="24"/>
              </w:rPr>
            </w:pPr>
            <w:r w:rsidRPr="00C8080B">
              <w:rPr>
                <w:rFonts w:ascii="Calibri" w:hAnsi="Calibri" w:cs="Calibri"/>
                <w:sz w:val="24"/>
              </w:rPr>
              <w:t>Beneficiary of the massive data center build-out required by the new investment.</w:t>
            </w:r>
          </w:p>
        </w:tc>
      </w:tr>
    </w:tbl>
    <w:p w14:paraId="7AAF6179" w14:textId="77777777" w:rsidR="00C8080B" w:rsidRDefault="00C8080B" w:rsidP="00C8080B">
      <w:pPr>
        <w:rPr>
          <w:rFonts w:ascii="Calibri" w:hAnsi="Calibri" w:cs="Calibri"/>
          <w:sz w:val="24"/>
        </w:rPr>
      </w:pPr>
    </w:p>
    <w:p w14:paraId="0711D959" w14:textId="77777777" w:rsidR="00C8080B" w:rsidRPr="00C8080B" w:rsidRDefault="00C8080B" w:rsidP="00C8080B">
      <w:pPr>
        <w:rPr>
          <w:rFonts w:ascii="Calibri" w:hAnsi="Calibri" w:cs="Calibri"/>
          <w:b/>
          <w:bCs/>
          <w:sz w:val="24"/>
        </w:rPr>
      </w:pPr>
      <w:r w:rsidRPr="00C8080B">
        <w:rPr>
          <w:rFonts w:ascii="Calibri" w:hAnsi="Calibri" w:cs="Calibri"/>
          <w:b/>
          <w:bCs/>
          <w:sz w:val="24"/>
        </w:rPr>
        <w:t>Quantum Computing Stocks</w:t>
      </w:r>
    </w:p>
    <w:p w14:paraId="52CBCFAC" w14:textId="77777777" w:rsidR="00C8080B" w:rsidRPr="00C8080B" w:rsidRDefault="00C8080B" w:rsidP="00C8080B">
      <w:pPr>
        <w:rPr>
          <w:rFonts w:ascii="Calibri" w:hAnsi="Calibri" w:cs="Calibri"/>
          <w:sz w:val="24"/>
        </w:rPr>
      </w:pPr>
      <w:r w:rsidRPr="00C8080B">
        <w:rPr>
          <w:rFonts w:ascii="Calibri" w:hAnsi="Calibri" w:cs="Calibri"/>
          <w:sz w:val="24"/>
        </w:rPr>
        <w:t>The quantum sector, while more speculative, reacted with strong enthusiasm. The deal's explicit mention of quantum collaboration was seen as major government validation for the industry's future.</w:t>
      </w:r>
    </w:p>
    <w:tbl>
      <w:tblPr>
        <w:tblW w:w="9915" w:type="dxa"/>
        <w:tblCellMar>
          <w:left w:w="0" w:type="dxa"/>
          <w:right w:w="0" w:type="dxa"/>
        </w:tblCellMar>
        <w:tblLook w:val="04A0" w:firstRow="1" w:lastRow="0" w:firstColumn="1" w:lastColumn="0" w:noHBand="0" w:noVBand="1"/>
      </w:tblPr>
      <w:tblGrid>
        <w:gridCol w:w="1281"/>
        <w:gridCol w:w="628"/>
        <w:gridCol w:w="1013"/>
        <w:gridCol w:w="1013"/>
        <w:gridCol w:w="899"/>
        <w:gridCol w:w="984"/>
        <w:gridCol w:w="4097"/>
      </w:tblGrid>
      <w:tr w:rsidR="00D05238" w:rsidRPr="00C8080B" w14:paraId="21C81389" w14:textId="77777777" w:rsidTr="00C8080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0C31F" w14:textId="12CC57DD" w:rsidR="00D05238" w:rsidRPr="00C8080B" w:rsidRDefault="00D05238" w:rsidP="00D05238">
            <w:pPr>
              <w:rPr>
                <w:rFonts w:ascii="Calibri" w:hAnsi="Calibri" w:cs="Calibri"/>
                <w:sz w:val="24"/>
              </w:rPr>
            </w:pPr>
            <w:r>
              <w:rPr>
                <w:rFonts w:ascii="Arial" w:hAnsi="Arial" w:cs="Arial"/>
                <w:sz w:val="20"/>
                <w:szCs w:val="20"/>
              </w:rPr>
              <w:t>Company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A40AD" w14:textId="528583B9" w:rsidR="00D05238" w:rsidRPr="00C8080B" w:rsidRDefault="00D05238" w:rsidP="00D05238">
            <w:pPr>
              <w:rPr>
                <w:rFonts w:ascii="Calibri" w:hAnsi="Calibri" w:cs="Calibri"/>
                <w:sz w:val="24"/>
              </w:rPr>
            </w:pPr>
            <w:r>
              <w:rPr>
                <w:rFonts w:ascii="Arial" w:hAnsi="Arial" w:cs="Arial"/>
                <w:sz w:val="20"/>
                <w:szCs w:val="20"/>
              </w:rPr>
              <w:t>Ticker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FDA1A" w14:textId="18AFF9F5" w:rsidR="00D05238" w:rsidRPr="00C8080B" w:rsidRDefault="00D05238" w:rsidP="00D05238">
            <w:pPr>
              <w:rPr>
                <w:rFonts w:ascii="Calibri" w:hAnsi="Calibri" w:cs="Calibri"/>
                <w:sz w:val="24"/>
              </w:rPr>
            </w:pPr>
            <w:r>
              <w:rPr>
                <w:rFonts w:ascii="Arial" w:hAnsi="Arial" w:cs="Arial"/>
                <w:sz w:val="20"/>
                <w:szCs w:val="20"/>
              </w:rPr>
              <w:t>Price (Sep 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F0C8F" w14:textId="6575275D" w:rsidR="00D05238" w:rsidRPr="00C8080B" w:rsidRDefault="00D05238" w:rsidP="00D05238">
            <w:pPr>
              <w:rPr>
                <w:rFonts w:ascii="Calibri" w:hAnsi="Calibri" w:cs="Calibri"/>
                <w:sz w:val="24"/>
              </w:rPr>
            </w:pPr>
            <w:r>
              <w:rPr>
                <w:rFonts w:ascii="Arial" w:hAnsi="Arial" w:cs="Arial"/>
                <w:sz w:val="20"/>
                <w:szCs w:val="20"/>
              </w:rPr>
              <w:t>Price (Sep 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C1A01E" w14:textId="2F50FAB8" w:rsidR="00D05238" w:rsidRPr="00C8080B" w:rsidRDefault="00D05238" w:rsidP="00D05238">
            <w:pPr>
              <w:rPr>
                <w:rFonts w:ascii="Calibri" w:hAnsi="Calibri" w:cs="Calibri"/>
                <w:sz w:val="24"/>
              </w:rPr>
            </w:pPr>
            <w:r>
              <w:rPr>
                <w:rFonts w:ascii="Arial" w:hAnsi="Arial" w:cs="Arial"/>
                <w:sz w:val="20"/>
                <w:szCs w:val="20"/>
              </w:rPr>
              <w:t>Change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287465" w14:textId="6B0513C6" w:rsidR="00D05238" w:rsidRPr="00C8080B" w:rsidRDefault="00D05238" w:rsidP="00D05238">
            <w:pPr>
              <w:rPr>
                <w:rFonts w:ascii="Calibri" w:hAnsi="Calibri" w:cs="Calibri"/>
                <w:sz w:val="24"/>
              </w:rPr>
            </w:pPr>
            <w:r>
              <w:rPr>
                <w:rFonts w:ascii="Arial" w:hAnsi="Arial" w:cs="Arial"/>
                <w:sz w:val="20"/>
                <w:szCs w:val="20"/>
              </w:rPr>
              <w:t>Change (%)</w:t>
            </w:r>
          </w:p>
        </w:tc>
        <w:tc>
          <w:tcPr>
            <w:tcW w:w="40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0603D5" w14:textId="40378708" w:rsidR="00D05238" w:rsidRPr="00C8080B" w:rsidRDefault="00D05238" w:rsidP="00D05238">
            <w:pPr>
              <w:rPr>
                <w:rFonts w:ascii="Calibri" w:hAnsi="Calibri" w:cs="Calibri"/>
                <w:sz w:val="24"/>
              </w:rPr>
            </w:pPr>
            <w:r>
              <w:rPr>
                <w:rFonts w:ascii="Arial" w:hAnsi="Arial" w:cs="Arial"/>
                <w:sz w:val="20"/>
                <w:szCs w:val="20"/>
              </w:rPr>
              <w:t>Weekly Context</w:t>
            </w:r>
          </w:p>
        </w:tc>
      </w:tr>
      <w:tr w:rsidR="00D05238" w:rsidRPr="00C8080B" w14:paraId="04D2B67F" w14:textId="77777777" w:rsidTr="00C8080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2209A" w14:textId="25788CC8" w:rsidR="00D05238" w:rsidRPr="00C8080B" w:rsidRDefault="00D05238" w:rsidP="00D05238">
            <w:pPr>
              <w:rPr>
                <w:rFonts w:ascii="Calibri" w:hAnsi="Calibri" w:cs="Calibri"/>
                <w:sz w:val="24"/>
              </w:rPr>
            </w:pPr>
            <w:proofErr w:type="spellStart"/>
            <w:r>
              <w:rPr>
                <w:rFonts w:ascii="Arial" w:hAnsi="Arial" w:cs="Arial"/>
                <w:sz w:val="20"/>
                <w:szCs w:val="20"/>
              </w:rPr>
              <w:t>IonQ</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C95F67" w14:textId="2F10A708" w:rsidR="00D05238" w:rsidRPr="00C8080B" w:rsidRDefault="00D05238" w:rsidP="00D05238">
            <w:pPr>
              <w:rPr>
                <w:rFonts w:ascii="Calibri" w:hAnsi="Calibri" w:cs="Calibri"/>
                <w:sz w:val="24"/>
              </w:rPr>
            </w:pPr>
            <w:r>
              <w:rPr>
                <w:rFonts w:ascii="Arial" w:hAnsi="Arial" w:cs="Arial"/>
                <w:sz w:val="20"/>
                <w:szCs w:val="20"/>
              </w:rPr>
              <w:t>IONQ</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DD9BF" w14:textId="5C98157F" w:rsidR="00D05238" w:rsidRPr="00C8080B" w:rsidRDefault="00D05238" w:rsidP="00D05238">
            <w:pPr>
              <w:rPr>
                <w:rFonts w:ascii="Calibri" w:hAnsi="Calibri" w:cs="Calibri"/>
                <w:sz w:val="24"/>
              </w:rPr>
            </w:pPr>
            <w:r>
              <w:rPr>
                <w:rFonts w:ascii="Arial" w:hAnsi="Arial" w:cs="Arial"/>
                <w:sz w:val="20"/>
                <w:szCs w:val="20"/>
              </w:rPr>
              <w:t>$9.15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73A5F" w14:textId="5BDC2B87" w:rsidR="00D05238" w:rsidRPr="00C8080B" w:rsidRDefault="00D05238" w:rsidP="00D05238">
            <w:pPr>
              <w:rPr>
                <w:rFonts w:ascii="Calibri" w:hAnsi="Calibri" w:cs="Calibri"/>
                <w:sz w:val="24"/>
              </w:rPr>
            </w:pPr>
            <w:r>
              <w:rPr>
                <w:rFonts w:ascii="Arial" w:hAnsi="Arial" w:cs="Arial"/>
                <w:sz w:val="20"/>
                <w:szCs w:val="20"/>
              </w:rPr>
              <w:t>$11.50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071B04" w14:textId="21B340A9" w:rsidR="00D05238" w:rsidRPr="00C8080B" w:rsidRDefault="00D05238" w:rsidP="00D05238">
            <w:pPr>
              <w:rPr>
                <w:rFonts w:ascii="Calibri" w:hAnsi="Calibri" w:cs="Calibri"/>
                <w:sz w:val="24"/>
              </w:rPr>
            </w:pPr>
            <w:r>
              <w:rPr>
                <w:rFonts w:ascii="Arial" w:hAnsi="Arial" w:cs="Arial"/>
                <w:sz w:val="20"/>
                <w:szCs w:val="20"/>
              </w:rPr>
              <w:t>+$2.35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42D64" w14:textId="2C6EE1B0" w:rsidR="00D05238" w:rsidRPr="00C8080B" w:rsidRDefault="00D05238" w:rsidP="00D05238">
            <w:pPr>
              <w:rPr>
                <w:rFonts w:ascii="Calibri" w:hAnsi="Calibri" w:cs="Calibri"/>
                <w:sz w:val="24"/>
              </w:rPr>
            </w:pPr>
            <w:r>
              <w:rPr>
                <w:rFonts w:ascii="Arial" w:hAnsi="Arial" w:cs="Arial"/>
                <w:sz w:val="20"/>
                <w:szCs w:val="20"/>
              </w:rPr>
              <w:t>+25.68%</w:t>
            </w:r>
          </w:p>
        </w:tc>
        <w:tc>
          <w:tcPr>
            <w:tcW w:w="4097"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D6E0D00" w14:textId="68B0061A" w:rsidR="00D05238" w:rsidRPr="00C8080B" w:rsidRDefault="00D05238" w:rsidP="00D05238">
            <w:pPr>
              <w:rPr>
                <w:rFonts w:ascii="Calibri" w:hAnsi="Calibri" w:cs="Calibri"/>
                <w:sz w:val="24"/>
              </w:rPr>
            </w:pPr>
            <w:r>
              <w:rPr>
                <w:rFonts w:ascii="Arial" w:hAnsi="Arial" w:cs="Arial"/>
                <w:sz w:val="20"/>
                <w:szCs w:val="20"/>
              </w:rPr>
              <w:t>As a pure-play leader, saw a massive speculative jump on news of UK-US R&amp;D collaboration.</w:t>
            </w:r>
          </w:p>
        </w:tc>
      </w:tr>
      <w:tr w:rsidR="00D05238" w:rsidRPr="00C8080B" w14:paraId="2E304CE4" w14:textId="77777777" w:rsidTr="00C8080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AFE2FB" w14:textId="0F9C7F00" w:rsidR="00D05238" w:rsidRPr="00C8080B" w:rsidRDefault="00D05238" w:rsidP="00D05238">
            <w:pPr>
              <w:rPr>
                <w:rFonts w:ascii="Calibri" w:hAnsi="Calibri" w:cs="Calibri"/>
                <w:sz w:val="24"/>
              </w:rPr>
            </w:pPr>
            <w:proofErr w:type="spellStart"/>
            <w:r>
              <w:rPr>
                <w:rFonts w:ascii="Arial" w:hAnsi="Arial" w:cs="Arial"/>
                <w:sz w:val="20"/>
                <w:szCs w:val="20"/>
              </w:rPr>
              <w:t>Rigetti</w:t>
            </w:r>
            <w:proofErr w:type="spellEnd"/>
            <w:r>
              <w:rPr>
                <w:rFonts w:ascii="Arial" w:hAnsi="Arial" w:cs="Arial"/>
                <w:sz w:val="20"/>
                <w:szCs w:val="20"/>
              </w:rPr>
              <w:t xml:space="preserve"> Computing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A37D8A" w14:textId="6138323A" w:rsidR="00D05238" w:rsidRPr="00C8080B" w:rsidRDefault="00D05238" w:rsidP="00D05238">
            <w:pPr>
              <w:rPr>
                <w:rFonts w:ascii="Calibri" w:hAnsi="Calibri" w:cs="Calibri"/>
                <w:sz w:val="24"/>
              </w:rPr>
            </w:pPr>
            <w:r>
              <w:rPr>
                <w:rFonts w:ascii="Arial" w:hAnsi="Arial" w:cs="Arial"/>
                <w:sz w:val="20"/>
                <w:szCs w:val="20"/>
              </w:rPr>
              <w:t>RGTI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4067A" w14:textId="481A4E32" w:rsidR="00D05238" w:rsidRPr="00C8080B" w:rsidRDefault="00D05238" w:rsidP="00D05238">
            <w:pPr>
              <w:rPr>
                <w:rFonts w:ascii="Calibri" w:hAnsi="Calibri" w:cs="Calibri"/>
                <w:sz w:val="24"/>
              </w:rPr>
            </w:pPr>
            <w:r>
              <w:rPr>
                <w:rFonts w:ascii="Arial" w:hAnsi="Arial" w:cs="Arial"/>
                <w:sz w:val="20"/>
                <w:szCs w:val="20"/>
              </w:rPr>
              <w:t>$1.80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94D03" w14:textId="2E656911" w:rsidR="00D05238" w:rsidRPr="00C8080B" w:rsidRDefault="00D05238" w:rsidP="00D05238">
            <w:pPr>
              <w:rPr>
                <w:rFonts w:ascii="Calibri" w:hAnsi="Calibri" w:cs="Calibri"/>
                <w:sz w:val="24"/>
              </w:rPr>
            </w:pPr>
            <w:r>
              <w:rPr>
                <w:rFonts w:ascii="Arial" w:hAnsi="Arial" w:cs="Arial"/>
                <w:sz w:val="20"/>
                <w:szCs w:val="20"/>
              </w:rPr>
              <w:t>$2.18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1C4C00" w14:textId="58B4EF3E" w:rsidR="00D05238" w:rsidRPr="00C8080B" w:rsidRDefault="00D05238" w:rsidP="00D05238">
            <w:pPr>
              <w:rPr>
                <w:rFonts w:ascii="Calibri" w:hAnsi="Calibri" w:cs="Calibri"/>
                <w:sz w:val="24"/>
              </w:rPr>
            </w:pPr>
            <w:r>
              <w:rPr>
                <w:rFonts w:ascii="Arial" w:hAnsi="Arial" w:cs="Arial"/>
                <w:sz w:val="20"/>
                <w:szCs w:val="20"/>
              </w:rPr>
              <w:t>+$0.38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C62A8" w14:textId="45F5287C" w:rsidR="00D05238" w:rsidRPr="00C8080B" w:rsidRDefault="00D05238" w:rsidP="00D05238">
            <w:pPr>
              <w:rPr>
                <w:rFonts w:ascii="Calibri" w:hAnsi="Calibri" w:cs="Calibri"/>
                <w:sz w:val="24"/>
              </w:rPr>
            </w:pPr>
            <w:r>
              <w:rPr>
                <w:rFonts w:ascii="Arial" w:hAnsi="Arial" w:cs="Arial"/>
                <w:sz w:val="20"/>
                <w:szCs w:val="20"/>
              </w:rPr>
              <w:t>+21.11%</w:t>
            </w:r>
          </w:p>
        </w:tc>
        <w:tc>
          <w:tcPr>
            <w:tcW w:w="4097"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381ABE3" w14:textId="63D2958F" w:rsidR="00D05238" w:rsidRPr="00C8080B" w:rsidRDefault="00D05238" w:rsidP="00D05238">
            <w:pPr>
              <w:rPr>
                <w:rFonts w:ascii="Calibri" w:hAnsi="Calibri" w:cs="Calibri"/>
                <w:sz w:val="24"/>
              </w:rPr>
            </w:pPr>
            <w:r>
              <w:rPr>
                <w:rFonts w:ascii="Arial" w:hAnsi="Arial" w:cs="Arial"/>
                <w:sz w:val="20"/>
                <w:szCs w:val="20"/>
              </w:rPr>
              <w:t>Gained significantly as the deal is expected to accelerate the entire quantum ecosystem.</w:t>
            </w:r>
          </w:p>
        </w:tc>
      </w:tr>
      <w:tr w:rsidR="00D05238" w:rsidRPr="00C8080B" w14:paraId="01AE726D" w14:textId="77777777" w:rsidTr="00C8080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2A5C4" w14:textId="117AF3CE" w:rsidR="00D05238" w:rsidRPr="00C8080B" w:rsidRDefault="00D05238" w:rsidP="00D05238">
            <w:pPr>
              <w:rPr>
                <w:rFonts w:ascii="Calibri" w:hAnsi="Calibri" w:cs="Calibri"/>
                <w:sz w:val="24"/>
              </w:rPr>
            </w:pPr>
            <w:r>
              <w:rPr>
                <w:rFonts w:ascii="Arial" w:hAnsi="Arial" w:cs="Arial"/>
                <w:sz w:val="20"/>
                <w:szCs w:val="20"/>
              </w:rPr>
              <w:t>IBM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9E0900" w14:textId="413A5930" w:rsidR="00D05238" w:rsidRPr="00C8080B" w:rsidRDefault="00D05238" w:rsidP="00D05238">
            <w:pPr>
              <w:rPr>
                <w:rFonts w:ascii="Calibri" w:hAnsi="Calibri" w:cs="Calibri"/>
                <w:sz w:val="24"/>
              </w:rPr>
            </w:pPr>
            <w:r>
              <w:rPr>
                <w:rFonts w:ascii="Arial" w:hAnsi="Arial" w:cs="Arial"/>
                <w:sz w:val="20"/>
                <w:szCs w:val="20"/>
              </w:rPr>
              <w:t>IBM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C12B3" w14:textId="1A7E0CE0" w:rsidR="00D05238" w:rsidRPr="00C8080B" w:rsidRDefault="00D05238" w:rsidP="00D05238">
            <w:pPr>
              <w:rPr>
                <w:rFonts w:ascii="Calibri" w:hAnsi="Calibri" w:cs="Calibri"/>
                <w:sz w:val="24"/>
              </w:rPr>
            </w:pPr>
            <w:r>
              <w:rPr>
                <w:rFonts w:ascii="Arial" w:hAnsi="Arial" w:cs="Arial"/>
                <w:sz w:val="20"/>
                <w:szCs w:val="20"/>
              </w:rPr>
              <w:t>$175.60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644BA" w14:textId="2B65C029" w:rsidR="00D05238" w:rsidRPr="00C8080B" w:rsidRDefault="00D05238" w:rsidP="00D05238">
            <w:pPr>
              <w:rPr>
                <w:rFonts w:ascii="Calibri" w:hAnsi="Calibri" w:cs="Calibri"/>
                <w:sz w:val="24"/>
              </w:rPr>
            </w:pPr>
            <w:r>
              <w:rPr>
                <w:rFonts w:ascii="Arial" w:hAnsi="Arial" w:cs="Arial"/>
                <w:sz w:val="20"/>
                <w:szCs w:val="20"/>
              </w:rPr>
              <w:t>$184.40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77C65" w14:textId="2F763CE0" w:rsidR="00D05238" w:rsidRPr="00C8080B" w:rsidRDefault="00D05238" w:rsidP="00D05238">
            <w:pPr>
              <w:rPr>
                <w:rFonts w:ascii="Calibri" w:hAnsi="Calibri" w:cs="Calibri"/>
                <w:sz w:val="24"/>
              </w:rPr>
            </w:pPr>
            <w:r>
              <w:rPr>
                <w:rFonts w:ascii="Arial" w:hAnsi="Arial" w:cs="Arial"/>
                <w:sz w:val="20"/>
                <w:szCs w:val="20"/>
              </w:rPr>
              <w:t>+$8.80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C0D07" w14:textId="2CB0BBCC" w:rsidR="00D05238" w:rsidRPr="00C8080B" w:rsidRDefault="00D05238" w:rsidP="00D05238">
            <w:pPr>
              <w:rPr>
                <w:rFonts w:ascii="Calibri" w:hAnsi="Calibri" w:cs="Calibri"/>
                <w:sz w:val="24"/>
              </w:rPr>
            </w:pPr>
            <w:r>
              <w:rPr>
                <w:rFonts w:ascii="Arial" w:hAnsi="Arial" w:cs="Arial"/>
                <w:sz w:val="20"/>
                <w:szCs w:val="20"/>
              </w:rPr>
              <w:t>+5.01%</w:t>
            </w:r>
          </w:p>
        </w:tc>
        <w:tc>
          <w:tcPr>
            <w:tcW w:w="4097"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AFC9352" w14:textId="00913AA1" w:rsidR="00D05238" w:rsidRPr="00C8080B" w:rsidRDefault="00D05238" w:rsidP="00D05238">
            <w:pPr>
              <w:rPr>
                <w:rFonts w:ascii="Calibri" w:hAnsi="Calibri" w:cs="Calibri"/>
                <w:sz w:val="24"/>
              </w:rPr>
            </w:pPr>
            <w:r>
              <w:rPr>
                <w:rFonts w:ascii="Arial" w:hAnsi="Arial" w:cs="Arial"/>
                <w:sz w:val="20"/>
                <w:szCs w:val="20"/>
              </w:rPr>
              <w:t>Rose as a legacy tech giant with a leading quantum division, seen as a stable beneficiary.</w:t>
            </w:r>
          </w:p>
        </w:tc>
      </w:tr>
      <w:tr w:rsidR="00D05238" w:rsidRPr="00C8080B" w14:paraId="5AD357B0" w14:textId="77777777" w:rsidTr="00C8080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6877DF" w14:textId="5BF4267A" w:rsidR="00D05238" w:rsidRPr="00C8080B" w:rsidRDefault="00D05238" w:rsidP="00D05238">
            <w:pPr>
              <w:rPr>
                <w:rFonts w:ascii="Calibri" w:hAnsi="Calibri" w:cs="Calibri"/>
                <w:sz w:val="24"/>
              </w:rPr>
            </w:pPr>
            <w:r>
              <w:rPr>
                <w:rFonts w:ascii="Arial" w:hAnsi="Arial" w:cs="Arial"/>
                <w:sz w:val="20"/>
                <w:szCs w:val="20"/>
              </w:rPr>
              <w:t>Honeywell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CB694C" w14:textId="60C3CB5A" w:rsidR="00D05238" w:rsidRPr="00C8080B" w:rsidRDefault="00D05238" w:rsidP="00D05238">
            <w:pPr>
              <w:rPr>
                <w:rFonts w:ascii="Calibri" w:hAnsi="Calibri" w:cs="Calibri"/>
                <w:sz w:val="24"/>
              </w:rPr>
            </w:pPr>
            <w:r>
              <w:rPr>
                <w:rFonts w:ascii="Arial" w:hAnsi="Arial" w:cs="Arial"/>
                <w:sz w:val="20"/>
                <w:szCs w:val="20"/>
              </w:rPr>
              <w:t>HON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937DCD" w14:textId="57D95CE6" w:rsidR="00D05238" w:rsidRPr="00C8080B" w:rsidRDefault="00D05238" w:rsidP="00D05238">
            <w:pPr>
              <w:rPr>
                <w:rFonts w:ascii="Calibri" w:hAnsi="Calibri" w:cs="Calibri"/>
                <w:sz w:val="24"/>
              </w:rPr>
            </w:pPr>
            <w:r>
              <w:rPr>
                <w:rFonts w:ascii="Arial" w:hAnsi="Arial" w:cs="Arial"/>
                <w:sz w:val="20"/>
                <w:szCs w:val="20"/>
              </w:rPr>
              <w:t>$210.25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4DD840" w14:textId="1812BB6D" w:rsidR="00D05238" w:rsidRPr="00C8080B" w:rsidRDefault="00D05238" w:rsidP="00D05238">
            <w:pPr>
              <w:rPr>
                <w:rFonts w:ascii="Calibri" w:hAnsi="Calibri" w:cs="Calibri"/>
                <w:sz w:val="24"/>
              </w:rPr>
            </w:pPr>
            <w:r>
              <w:rPr>
                <w:rFonts w:ascii="Arial" w:hAnsi="Arial" w:cs="Arial"/>
                <w:sz w:val="20"/>
                <w:szCs w:val="20"/>
              </w:rPr>
              <w:t>$219.05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DBA42" w14:textId="05E0899E" w:rsidR="00D05238" w:rsidRPr="00C8080B" w:rsidRDefault="00D05238" w:rsidP="00D05238">
            <w:pPr>
              <w:rPr>
                <w:rFonts w:ascii="Calibri" w:hAnsi="Calibri" w:cs="Calibri"/>
                <w:sz w:val="24"/>
              </w:rPr>
            </w:pPr>
            <w:r>
              <w:rPr>
                <w:rFonts w:ascii="Arial" w:hAnsi="Arial" w:cs="Arial"/>
                <w:sz w:val="20"/>
                <w:szCs w:val="20"/>
              </w:rPr>
              <w:t>+$8.80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F59DA" w14:textId="788E631A" w:rsidR="00D05238" w:rsidRPr="00C8080B" w:rsidRDefault="00D05238" w:rsidP="00D05238">
            <w:pPr>
              <w:rPr>
                <w:rFonts w:ascii="Calibri" w:hAnsi="Calibri" w:cs="Calibri"/>
                <w:sz w:val="24"/>
              </w:rPr>
            </w:pPr>
            <w:r>
              <w:rPr>
                <w:rFonts w:ascii="Arial" w:hAnsi="Arial" w:cs="Arial"/>
                <w:sz w:val="20"/>
                <w:szCs w:val="20"/>
              </w:rPr>
              <w:t>+4.19%</w:t>
            </w:r>
          </w:p>
        </w:tc>
        <w:tc>
          <w:tcPr>
            <w:tcW w:w="4097"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4770557" w14:textId="15AE038A" w:rsidR="00D05238" w:rsidRPr="00C8080B" w:rsidRDefault="00D05238" w:rsidP="00D05238">
            <w:pPr>
              <w:rPr>
                <w:rFonts w:ascii="Calibri" w:hAnsi="Calibri" w:cs="Calibri"/>
                <w:sz w:val="24"/>
              </w:rPr>
            </w:pPr>
            <w:r>
              <w:rPr>
                <w:rFonts w:ascii="Arial" w:hAnsi="Arial" w:cs="Arial"/>
                <w:sz w:val="20"/>
                <w:szCs w:val="20"/>
              </w:rPr>
              <w:t xml:space="preserve">Gained on the strength of its advanced materials and quantum subsidiary, </w:t>
            </w:r>
            <w:proofErr w:type="spellStart"/>
            <w:r>
              <w:rPr>
                <w:rFonts w:ascii="Arial" w:hAnsi="Arial" w:cs="Arial"/>
                <w:sz w:val="20"/>
                <w:szCs w:val="20"/>
              </w:rPr>
              <w:t>Quantinuum</w:t>
            </w:r>
            <w:proofErr w:type="spellEnd"/>
            <w:r>
              <w:rPr>
                <w:rFonts w:ascii="Arial" w:hAnsi="Arial" w:cs="Arial"/>
                <w:sz w:val="20"/>
                <w:szCs w:val="20"/>
              </w:rPr>
              <w:t>.</w:t>
            </w:r>
          </w:p>
        </w:tc>
      </w:tr>
    </w:tbl>
    <w:p w14:paraId="141CDA86" w14:textId="77777777" w:rsidR="00C8080B" w:rsidRDefault="00C8080B" w:rsidP="00C8080B">
      <w:pPr>
        <w:rPr>
          <w:rFonts w:ascii="Calibri" w:hAnsi="Calibri" w:cs="Calibri"/>
          <w:sz w:val="24"/>
        </w:rPr>
      </w:pPr>
    </w:p>
    <w:p w14:paraId="28FFC220" w14:textId="77777777" w:rsidR="00D05238" w:rsidRDefault="00D05238" w:rsidP="00C8080B">
      <w:pPr>
        <w:rPr>
          <w:rFonts w:ascii="Calibri" w:hAnsi="Calibri" w:cs="Calibri" w:hint="eastAsia"/>
          <w:sz w:val="24"/>
        </w:rPr>
      </w:pPr>
    </w:p>
    <w:p w14:paraId="5F62D97B" w14:textId="77777777" w:rsidR="003A6AFF" w:rsidRPr="003A6AFF" w:rsidRDefault="003A6AFF" w:rsidP="003A6AFF">
      <w:pPr>
        <w:rPr>
          <w:rFonts w:ascii="Calibri" w:hAnsi="Calibri" w:cs="Calibri"/>
          <w:b/>
          <w:bCs/>
          <w:sz w:val="24"/>
        </w:rPr>
      </w:pPr>
      <w:r w:rsidRPr="003A6AFF">
        <w:rPr>
          <w:rFonts w:ascii="Calibri" w:hAnsi="Calibri" w:cs="Calibri"/>
          <w:b/>
          <w:bCs/>
          <w:sz w:val="24"/>
        </w:rPr>
        <w:lastRenderedPageBreak/>
        <w:t>Nuclear Energy &amp; SMR Stocks</w:t>
      </w:r>
    </w:p>
    <w:p w14:paraId="6E3E205E" w14:textId="77777777" w:rsidR="003A6AFF" w:rsidRPr="003A6AFF" w:rsidRDefault="003A6AFF" w:rsidP="003A6AFF">
      <w:pPr>
        <w:rPr>
          <w:rFonts w:ascii="Calibri" w:hAnsi="Calibri" w:cs="Calibri"/>
          <w:sz w:val="24"/>
        </w:rPr>
      </w:pPr>
      <w:r w:rsidRPr="003A6AFF">
        <w:rPr>
          <w:rFonts w:ascii="Calibri" w:hAnsi="Calibri" w:cs="Calibri"/>
          <w:sz w:val="24"/>
        </w:rPr>
        <w:t>Stocks in the nuclear sector, particularly those focused on Small Modular Reactors (SMRs), surged on the news that the deal would fast-track projects and streamline regulations between the US and UK.</w:t>
      </w:r>
    </w:p>
    <w:tbl>
      <w:tblPr>
        <w:tblW w:w="10057" w:type="dxa"/>
        <w:tblCellMar>
          <w:left w:w="0" w:type="dxa"/>
          <w:right w:w="0" w:type="dxa"/>
        </w:tblCellMar>
        <w:tblLook w:val="04A0" w:firstRow="1" w:lastRow="0" w:firstColumn="1" w:lastColumn="0" w:noHBand="0" w:noVBand="1"/>
      </w:tblPr>
      <w:tblGrid>
        <w:gridCol w:w="1349"/>
        <w:gridCol w:w="675"/>
        <w:gridCol w:w="759"/>
        <w:gridCol w:w="881"/>
        <w:gridCol w:w="879"/>
        <w:gridCol w:w="929"/>
        <w:gridCol w:w="4585"/>
      </w:tblGrid>
      <w:tr w:rsidR="00C8080B" w:rsidRPr="00C8080B" w14:paraId="292EE660" w14:textId="77777777" w:rsidTr="00C8080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37035" w14:textId="77777777" w:rsidR="00C8080B" w:rsidRPr="00C8080B" w:rsidRDefault="00C8080B" w:rsidP="00C8080B">
            <w:pPr>
              <w:rPr>
                <w:rFonts w:ascii="Calibri" w:hAnsi="Calibri" w:cs="Calibri"/>
                <w:sz w:val="24"/>
              </w:rPr>
            </w:pPr>
            <w:r w:rsidRPr="00C8080B">
              <w:rPr>
                <w:rFonts w:ascii="Calibri" w:hAnsi="Calibri" w:cs="Calibri"/>
                <w:sz w:val="24"/>
              </w:rPr>
              <w:t>Company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47A1F" w14:textId="77777777" w:rsidR="00C8080B" w:rsidRPr="00C8080B" w:rsidRDefault="00C8080B" w:rsidP="00C8080B">
            <w:pPr>
              <w:rPr>
                <w:rFonts w:ascii="Calibri" w:hAnsi="Calibri" w:cs="Calibri"/>
                <w:sz w:val="24"/>
              </w:rPr>
            </w:pPr>
            <w:r w:rsidRPr="00C8080B">
              <w:rPr>
                <w:rFonts w:ascii="Calibri" w:hAnsi="Calibri" w:cs="Calibri"/>
                <w:sz w:val="24"/>
              </w:rPr>
              <w:t>Ticker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DBB13" w14:textId="77777777" w:rsidR="00C8080B" w:rsidRPr="00C8080B" w:rsidRDefault="00C8080B" w:rsidP="00C8080B">
            <w:pPr>
              <w:rPr>
                <w:rFonts w:ascii="Calibri" w:hAnsi="Calibri" w:cs="Calibri"/>
                <w:sz w:val="24"/>
              </w:rPr>
            </w:pPr>
            <w:r w:rsidRPr="00C8080B">
              <w:rPr>
                <w:rFonts w:ascii="Calibri" w:hAnsi="Calibri" w:cs="Calibri"/>
                <w:sz w:val="24"/>
              </w:rPr>
              <w:t>Price (Sep 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E8A24" w14:textId="77777777" w:rsidR="00C8080B" w:rsidRPr="00C8080B" w:rsidRDefault="00C8080B" w:rsidP="00C8080B">
            <w:pPr>
              <w:rPr>
                <w:rFonts w:ascii="Calibri" w:hAnsi="Calibri" w:cs="Calibri"/>
                <w:sz w:val="24"/>
              </w:rPr>
            </w:pPr>
            <w:r w:rsidRPr="00C8080B">
              <w:rPr>
                <w:rFonts w:ascii="Calibri" w:hAnsi="Calibri" w:cs="Calibri"/>
                <w:sz w:val="24"/>
              </w:rPr>
              <w:t>Price (Sep 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6506E" w14:textId="77777777" w:rsidR="00C8080B" w:rsidRPr="00C8080B" w:rsidRDefault="00C8080B" w:rsidP="00C8080B">
            <w:pPr>
              <w:rPr>
                <w:rFonts w:ascii="Calibri" w:hAnsi="Calibri" w:cs="Calibri"/>
                <w:sz w:val="24"/>
              </w:rPr>
            </w:pPr>
            <w:r w:rsidRPr="00C8080B">
              <w:rPr>
                <w:rFonts w:ascii="Calibri" w:hAnsi="Calibri" w:cs="Calibri"/>
                <w:sz w:val="24"/>
              </w:rPr>
              <w:t>Change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48857F" w14:textId="77777777" w:rsidR="00C8080B" w:rsidRPr="00C8080B" w:rsidRDefault="00C8080B" w:rsidP="00C8080B">
            <w:pPr>
              <w:rPr>
                <w:rFonts w:ascii="Calibri" w:hAnsi="Calibri" w:cs="Calibri"/>
                <w:sz w:val="24"/>
              </w:rPr>
            </w:pPr>
            <w:r w:rsidRPr="00C8080B">
              <w:rPr>
                <w:rFonts w:ascii="Calibri" w:hAnsi="Calibri" w:cs="Calibri"/>
                <w:sz w:val="24"/>
              </w:rPr>
              <w:t>Change (%)</w:t>
            </w:r>
          </w:p>
        </w:tc>
        <w:tc>
          <w:tcPr>
            <w:tcW w:w="45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362470" w14:textId="77777777" w:rsidR="00C8080B" w:rsidRPr="00C8080B" w:rsidRDefault="00C8080B" w:rsidP="00C8080B">
            <w:pPr>
              <w:rPr>
                <w:rFonts w:ascii="Calibri" w:hAnsi="Calibri" w:cs="Calibri"/>
                <w:sz w:val="24"/>
              </w:rPr>
            </w:pPr>
            <w:r w:rsidRPr="00C8080B">
              <w:rPr>
                <w:rFonts w:ascii="Calibri" w:hAnsi="Calibri" w:cs="Calibri"/>
                <w:sz w:val="24"/>
              </w:rPr>
              <w:t>Weekly Context</w:t>
            </w:r>
          </w:p>
        </w:tc>
      </w:tr>
      <w:tr w:rsidR="00C8080B" w:rsidRPr="00C8080B" w14:paraId="0C31E5BC" w14:textId="77777777" w:rsidTr="00C8080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8C33A" w14:textId="77777777" w:rsidR="00C8080B" w:rsidRPr="00C8080B" w:rsidRDefault="00C8080B" w:rsidP="00C8080B">
            <w:pPr>
              <w:rPr>
                <w:rFonts w:ascii="Calibri" w:hAnsi="Calibri" w:cs="Calibri"/>
                <w:sz w:val="24"/>
              </w:rPr>
            </w:pPr>
            <w:r w:rsidRPr="00C8080B">
              <w:rPr>
                <w:rFonts w:ascii="Calibri" w:hAnsi="Calibri" w:cs="Calibri"/>
                <w:sz w:val="24"/>
              </w:rPr>
              <w:t>Rolls-Royce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62D17" w14:textId="77777777" w:rsidR="00C8080B" w:rsidRPr="00C8080B" w:rsidRDefault="00C8080B" w:rsidP="00C8080B">
            <w:pPr>
              <w:rPr>
                <w:rFonts w:ascii="Calibri" w:hAnsi="Calibri" w:cs="Calibri"/>
                <w:sz w:val="24"/>
              </w:rPr>
            </w:pPr>
            <w:proofErr w:type="gramStart"/>
            <w:r w:rsidRPr="00C8080B">
              <w:rPr>
                <w:rFonts w:ascii="Calibri" w:hAnsi="Calibri" w:cs="Calibri"/>
                <w:sz w:val="24"/>
              </w:rPr>
              <w:t>RR.L</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AC747F" w14:textId="77777777" w:rsidR="00C8080B" w:rsidRPr="00C8080B" w:rsidRDefault="00C8080B" w:rsidP="00C8080B">
            <w:pPr>
              <w:rPr>
                <w:rFonts w:ascii="Calibri" w:hAnsi="Calibri" w:cs="Calibri"/>
                <w:sz w:val="24"/>
              </w:rPr>
            </w:pPr>
            <w:r w:rsidRPr="00C8080B">
              <w:rPr>
                <w:rFonts w:ascii="Calibri" w:hAnsi="Calibri" w:cs="Calibri"/>
                <w:sz w:val="24"/>
              </w:rPr>
              <w:t>£4.75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FDD4E6" w14:textId="77777777" w:rsidR="00C8080B" w:rsidRPr="00C8080B" w:rsidRDefault="00C8080B" w:rsidP="00C8080B">
            <w:pPr>
              <w:rPr>
                <w:rFonts w:ascii="Calibri" w:hAnsi="Calibri" w:cs="Calibri"/>
                <w:sz w:val="24"/>
              </w:rPr>
            </w:pPr>
            <w:r w:rsidRPr="00C8080B">
              <w:rPr>
                <w:rFonts w:ascii="Calibri" w:hAnsi="Calibri" w:cs="Calibri"/>
                <w:sz w:val="24"/>
              </w:rPr>
              <w:t>£5.65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DD4E34" w14:textId="77777777" w:rsidR="00C8080B" w:rsidRPr="00C8080B" w:rsidRDefault="00C8080B" w:rsidP="00C8080B">
            <w:pPr>
              <w:rPr>
                <w:rFonts w:ascii="Calibri" w:hAnsi="Calibri" w:cs="Calibri"/>
                <w:sz w:val="24"/>
              </w:rPr>
            </w:pPr>
            <w:r w:rsidRPr="00C8080B">
              <w:rPr>
                <w:rFonts w:ascii="Calibri" w:hAnsi="Calibri" w:cs="Calibri"/>
                <w:sz w:val="24"/>
              </w:rPr>
              <w:t>+£0.90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0DE1C8" w14:textId="77777777" w:rsidR="00C8080B" w:rsidRPr="00C8080B" w:rsidRDefault="00C8080B" w:rsidP="00C8080B">
            <w:pPr>
              <w:rPr>
                <w:rFonts w:ascii="Calibri" w:hAnsi="Calibri" w:cs="Calibri"/>
                <w:sz w:val="24"/>
              </w:rPr>
            </w:pPr>
            <w:r w:rsidRPr="00C8080B">
              <w:rPr>
                <w:rFonts w:ascii="Calibri" w:hAnsi="Calibri" w:cs="Calibri"/>
                <w:sz w:val="24"/>
              </w:rPr>
              <w:t>+18.95%</w:t>
            </w:r>
          </w:p>
        </w:tc>
        <w:tc>
          <w:tcPr>
            <w:tcW w:w="4585"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79B74AC" w14:textId="77777777" w:rsidR="00C8080B" w:rsidRPr="00C8080B" w:rsidRDefault="00C8080B" w:rsidP="00C8080B">
            <w:pPr>
              <w:rPr>
                <w:rFonts w:ascii="Calibri" w:hAnsi="Calibri" w:cs="Calibri"/>
                <w:sz w:val="24"/>
              </w:rPr>
            </w:pPr>
            <w:r w:rsidRPr="00C8080B">
              <w:rPr>
                <w:rFonts w:ascii="Calibri" w:hAnsi="Calibri" w:cs="Calibri"/>
                <w:sz w:val="24"/>
              </w:rPr>
              <w:t>The UK's flagship SMR developer saw a huge rally on the prospect of accelerated domestic deployment.</w:t>
            </w:r>
          </w:p>
        </w:tc>
      </w:tr>
      <w:tr w:rsidR="00C8080B" w:rsidRPr="00C8080B" w14:paraId="2143DF8D" w14:textId="77777777" w:rsidTr="00C8080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47187D" w14:textId="77777777" w:rsidR="00C8080B" w:rsidRPr="00C8080B" w:rsidRDefault="00C8080B" w:rsidP="00C8080B">
            <w:pPr>
              <w:rPr>
                <w:rFonts w:ascii="Calibri" w:hAnsi="Calibri" w:cs="Calibri"/>
                <w:sz w:val="24"/>
              </w:rPr>
            </w:pPr>
            <w:proofErr w:type="spellStart"/>
            <w:r w:rsidRPr="00C8080B">
              <w:rPr>
                <w:rFonts w:ascii="Calibri" w:hAnsi="Calibri" w:cs="Calibri"/>
                <w:sz w:val="24"/>
              </w:rPr>
              <w:t>NuScale</w:t>
            </w:r>
            <w:proofErr w:type="spellEnd"/>
            <w:r w:rsidRPr="00C8080B">
              <w:rPr>
                <w:rFonts w:ascii="Calibri" w:hAnsi="Calibri" w:cs="Calibri"/>
                <w:sz w:val="24"/>
              </w:rPr>
              <w:t xml:space="preserve"> Power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836048" w14:textId="77777777" w:rsidR="00C8080B" w:rsidRPr="00C8080B" w:rsidRDefault="00C8080B" w:rsidP="00C8080B">
            <w:pPr>
              <w:rPr>
                <w:rFonts w:ascii="Calibri" w:hAnsi="Calibri" w:cs="Calibri"/>
                <w:sz w:val="24"/>
              </w:rPr>
            </w:pPr>
            <w:r w:rsidRPr="00C8080B">
              <w:rPr>
                <w:rFonts w:ascii="Calibri" w:hAnsi="Calibri" w:cs="Calibri"/>
                <w:sz w:val="24"/>
              </w:rPr>
              <w:t>SMR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18125" w14:textId="77777777" w:rsidR="00C8080B" w:rsidRPr="00C8080B" w:rsidRDefault="00C8080B" w:rsidP="00C8080B">
            <w:pPr>
              <w:rPr>
                <w:rFonts w:ascii="Calibri" w:hAnsi="Calibri" w:cs="Calibri"/>
                <w:sz w:val="24"/>
              </w:rPr>
            </w:pPr>
            <w:r w:rsidRPr="00C8080B">
              <w:rPr>
                <w:rFonts w:ascii="Calibri" w:hAnsi="Calibri" w:cs="Calibri"/>
                <w:sz w:val="24"/>
              </w:rPr>
              <w:t>$8.50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94643A" w14:textId="77777777" w:rsidR="00C8080B" w:rsidRPr="00C8080B" w:rsidRDefault="00C8080B" w:rsidP="00C8080B">
            <w:pPr>
              <w:rPr>
                <w:rFonts w:ascii="Calibri" w:hAnsi="Calibri" w:cs="Calibri"/>
                <w:sz w:val="24"/>
              </w:rPr>
            </w:pPr>
            <w:r w:rsidRPr="00C8080B">
              <w:rPr>
                <w:rFonts w:ascii="Calibri" w:hAnsi="Calibri" w:cs="Calibri"/>
                <w:sz w:val="24"/>
              </w:rPr>
              <w:t>$10.10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5BB3E" w14:textId="77777777" w:rsidR="00C8080B" w:rsidRPr="00C8080B" w:rsidRDefault="00C8080B" w:rsidP="00C8080B">
            <w:pPr>
              <w:rPr>
                <w:rFonts w:ascii="Calibri" w:hAnsi="Calibri" w:cs="Calibri"/>
                <w:sz w:val="24"/>
              </w:rPr>
            </w:pPr>
            <w:r w:rsidRPr="00C8080B">
              <w:rPr>
                <w:rFonts w:ascii="Calibri" w:hAnsi="Calibri" w:cs="Calibri"/>
                <w:sz w:val="24"/>
              </w:rPr>
              <w:t>+$1.60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D1FE1" w14:textId="77777777" w:rsidR="00C8080B" w:rsidRPr="00C8080B" w:rsidRDefault="00C8080B" w:rsidP="00C8080B">
            <w:pPr>
              <w:rPr>
                <w:rFonts w:ascii="Calibri" w:hAnsi="Calibri" w:cs="Calibri"/>
                <w:sz w:val="24"/>
              </w:rPr>
            </w:pPr>
            <w:r w:rsidRPr="00C8080B">
              <w:rPr>
                <w:rFonts w:ascii="Calibri" w:hAnsi="Calibri" w:cs="Calibri"/>
                <w:sz w:val="24"/>
              </w:rPr>
              <w:t>+18.82%</w:t>
            </w:r>
          </w:p>
        </w:tc>
        <w:tc>
          <w:tcPr>
            <w:tcW w:w="4585"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43CBE54" w14:textId="77777777" w:rsidR="00C8080B" w:rsidRPr="00C8080B" w:rsidRDefault="00C8080B" w:rsidP="00C8080B">
            <w:pPr>
              <w:rPr>
                <w:rFonts w:ascii="Calibri" w:hAnsi="Calibri" w:cs="Calibri"/>
                <w:sz w:val="24"/>
              </w:rPr>
            </w:pPr>
            <w:r w:rsidRPr="00C8080B">
              <w:rPr>
                <w:rFonts w:ascii="Calibri" w:hAnsi="Calibri" w:cs="Calibri"/>
                <w:sz w:val="24"/>
              </w:rPr>
              <w:t>As a leading US SMR firm, it jumped on the potential for easier entry into the UK market.</w:t>
            </w:r>
          </w:p>
        </w:tc>
      </w:tr>
      <w:tr w:rsidR="00C8080B" w:rsidRPr="00C8080B" w14:paraId="5CA09162" w14:textId="77777777" w:rsidTr="00C8080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E3F645" w14:textId="77777777" w:rsidR="00C8080B" w:rsidRPr="00C8080B" w:rsidRDefault="00C8080B" w:rsidP="00C8080B">
            <w:pPr>
              <w:rPr>
                <w:rFonts w:ascii="Calibri" w:hAnsi="Calibri" w:cs="Calibri"/>
                <w:sz w:val="24"/>
              </w:rPr>
            </w:pPr>
            <w:r w:rsidRPr="00C8080B">
              <w:rPr>
                <w:rFonts w:ascii="Calibri" w:hAnsi="Calibri" w:cs="Calibri"/>
                <w:sz w:val="24"/>
              </w:rPr>
              <w:t>BWX Technologies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6B8AF0" w14:textId="77777777" w:rsidR="00C8080B" w:rsidRPr="00C8080B" w:rsidRDefault="00C8080B" w:rsidP="00C8080B">
            <w:pPr>
              <w:rPr>
                <w:rFonts w:ascii="Calibri" w:hAnsi="Calibri" w:cs="Calibri"/>
                <w:sz w:val="24"/>
              </w:rPr>
            </w:pPr>
            <w:r w:rsidRPr="00C8080B">
              <w:rPr>
                <w:rFonts w:ascii="Calibri" w:hAnsi="Calibri" w:cs="Calibri"/>
                <w:sz w:val="24"/>
              </w:rPr>
              <w:t>BWXT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DD2D0" w14:textId="77777777" w:rsidR="00C8080B" w:rsidRPr="00C8080B" w:rsidRDefault="00C8080B" w:rsidP="00C8080B">
            <w:pPr>
              <w:rPr>
                <w:rFonts w:ascii="Calibri" w:hAnsi="Calibri" w:cs="Calibri"/>
                <w:sz w:val="24"/>
              </w:rPr>
            </w:pPr>
            <w:r w:rsidRPr="00C8080B">
              <w:rPr>
                <w:rFonts w:ascii="Calibri" w:hAnsi="Calibri" w:cs="Calibri"/>
                <w:sz w:val="24"/>
              </w:rPr>
              <w:t>$95.10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D1CD4" w14:textId="77777777" w:rsidR="00C8080B" w:rsidRPr="00C8080B" w:rsidRDefault="00C8080B" w:rsidP="00C8080B">
            <w:pPr>
              <w:rPr>
                <w:rFonts w:ascii="Calibri" w:hAnsi="Calibri" w:cs="Calibri"/>
                <w:sz w:val="24"/>
              </w:rPr>
            </w:pPr>
            <w:r w:rsidRPr="00C8080B">
              <w:rPr>
                <w:rFonts w:ascii="Calibri" w:hAnsi="Calibri" w:cs="Calibri"/>
                <w:sz w:val="24"/>
              </w:rPr>
              <w:t>$105.60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7AB62" w14:textId="77777777" w:rsidR="00C8080B" w:rsidRPr="00C8080B" w:rsidRDefault="00C8080B" w:rsidP="00C8080B">
            <w:pPr>
              <w:rPr>
                <w:rFonts w:ascii="Calibri" w:hAnsi="Calibri" w:cs="Calibri"/>
                <w:sz w:val="24"/>
              </w:rPr>
            </w:pPr>
            <w:r w:rsidRPr="00C8080B">
              <w:rPr>
                <w:rFonts w:ascii="Calibri" w:hAnsi="Calibri" w:cs="Calibri"/>
                <w:sz w:val="24"/>
              </w:rPr>
              <w:t>+$10.50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6BB8B" w14:textId="77777777" w:rsidR="00C8080B" w:rsidRPr="00C8080B" w:rsidRDefault="00C8080B" w:rsidP="00C8080B">
            <w:pPr>
              <w:rPr>
                <w:rFonts w:ascii="Calibri" w:hAnsi="Calibri" w:cs="Calibri"/>
                <w:sz w:val="24"/>
              </w:rPr>
            </w:pPr>
            <w:r w:rsidRPr="00C8080B">
              <w:rPr>
                <w:rFonts w:ascii="Calibri" w:hAnsi="Calibri" w:cs="Calibri"/>
                <w:sz w:val="24"/>
              </w:rPr>
              <w:t>+11.04%</w:t>
            </w:r>
          </w:p>
        </w:tc>
        <w:tc>
          <w:tcPr>
            <w:tcW w:w="4585"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965C7BF" w14:textId="77777777" w:rsidR="00C8080B" w:rsidRPr="00C8080B" w:rsidRDefault="00C8080B" w:rsidP="00C8080B">
            <w:pPr>
              <w:rPr>
                <w:rFonts w:ascii="Calibri" w:hAnsi="Calibri" w:cs="Calibri"/>
                <w:sz w:val="24"/>
              </w:rPr>
            </w:pPr>
            <w:r w:rsidRPr="00C8080B">
              <w:rPr>
                <w:rFonts w:ascii="Calibri" w:hAnsi="Calibri" w:cs="Calibri"/>
                <w:sz w:val="24"/>
              </w:rPr>
              <w:t>A key supplier of nuclear components; rose on the expectation of increased orders for new reactors.</w:t>
            </w:r>
          </w:p>
        </w:tc>
      </w:tr>
      <w:tr w:rsidR="00C8080B" w:rsidRPr="00C8080B" w14:paraId="37477845" w14:textId="77777777" w:rsidTr="00C8080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63AF0" w14:textId="77777777" w:rsidR="00C8080B" w:rsidRPr="00C8080B" w:rsidRDefault="00C8080B" w:rsidP="00C8080B">
            <w:pPr>
              <w:rPr>
                <w:rFonts w:ascii="Calibri" w:hAnsi="Calibri" w:cs="Calibri"/>
                <w:sz w:val="24"/>
              </w:rPr>
            </w:pPr>
            <w:r w:rsidRPr="00C8080B">
              <w:rPr>
                <w:rFonts w:ascii="Calibri" w:hAnsi="Calibri" w:cs="Calibri"/>
                <w:sz w:val="24"/>
              </w:rPr>
              <w:t>Centrica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3FD6F6" w14:textId="77777777" w:rsidR="00C8080B" w:rsidRPr="00C8080B" w:rsidRDefault="00C8080B" w:rsidP="00C8080B">
            <w:pPr>
              <w:rPr>
                <w:rFonts w:ascii="Calibri" w:hAnsi="Calibri" w:cs="Calibri"/>
                <w:sz w:val="24"/>
              </w:rPr>
            </w:pPr>
            <w:r w:rsidRPr="00C8080B">
              <w:rPr>
                <w:rFonts w:ascii="Calibri" w:hAnsi="Calibri" w:cs="Calibri"/>
                <w:sz w:val="24"/>
              </w:rPr>
              <w:t>CNA.L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268A09" w14:textId="77777777" w:rsidR="00C8080B" w:rsidRPr="00C8080B" w:rsidRDefault="00C8080B" w:rsidP="00C8080B">
            <w:pPr>
              <w:rPr>
                <w:rFonts w:ascii="Calibri" w:hAnsi="Calibri" w:cs="Calibri"/>
                <w:sz w:val="24"/>
              </w:rPr>
            </w:pPr>
            <w:r w:rsidRPr="00C8080B">
              <w:rPr>
                <w:rFonts w:ascii="Calibri" w:hAnsi="Calibri" w:cs="Calibri"/>
                <w:sz w:val="24"/>
              </w:rPr>
              <w:t>£1.38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A600D" w14:textId="77777777" w:rsidR="00C8080B" w:rsidRPr="00C8080B" w:rsidRDefault="00C8080B" w:rsidP="00C8080B">
            <w:pPr>
              <w:rPr>
                <w:rFonts w:ascii="Calibri" w:hAnsi="Calibri" w:cs="Calibri"/>
                <w:sz w:val="24"/>
              </w:rPr>
            </w:pPr>
            <w:r w:rsidRPr="00C8080B">
              <w:rPr>
                <w:rFonts w:ascii="Calibri" w:hAnsi="Calibri" w:cs="Calibri"/>
                <w:sz w:val="24"/>
              </w:rPr>
              <w:t>£1.53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391F7" w14:textId="77777777" w:rsidR="00C8080B" w:rsidRPr="00C8080B" w:rsidRDefault="00C8080B" w:rsidP="00C8080B">
            <w:pPr>
              <w:rPr>
                <w:rFonts w:ascii="Calibri" w:hAnsi="Calibri" w:cs="Calibri"/>
                <w:sz w:val="24"/>
              </w:rPr>
            </w:pPr>
            <w:r w:rsidRPr="00C8080B">
              <w:rPr>
                <w:rFonts w:ascii="Calibri" w:hAnsi="Calibri" w:cs="Calibri"/>
                <w:sz w:val="24"/>
              </w:rPr>
              <w:t>+£0.15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36FE6" w14:textId="77777777" w:rsidR="00C8080B" w:rsidRPr="00C8080B" w:rsidRDefault="00C8080B" w:rsidP="00C8080B">
            <w:pPr>
              <w:rPr>
                <w:rFonts w:ascii="Calibri" w:hAnsi="Calibri" w:cs="Calibri"/>
                <w:sz w:val="24"/>
              </w:rPr>
            </w:pPr>
            <w:r w:rsidRPr="00C8080B">
              <w:rPr>
                <w:rFonts w:ascii="Calibri" w:hAnsi="Calibri" w:cs="Calibri"/>
                <w:sz w:val="24"/>
              </w:rPr>
              <w:t>+10.87%</w:t>
            </w:r>
          </w:p>
        </w:tc>
        <w:tc>
          <w:tcPr>
            <w:tcW w:w="4585"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6F882C1" w14:textId="77777777" w:rsidR="00C8080B" w:rsidRPr="00C8080B" w:rsidRDefault="00C8080B" w:rsidP="00C8080B">
            <w:pPr>
              <w:rPr>
                <w:rFonts w:ascii="Calibri" w:hAnsi="Calibri" w:cs="Calibri"/>
                <w:sz w:val="24"/>
              </w:rPr>
            </w:pPr>
            <w:r w:rsidRPr="00C8080B">
              <w:rPr>
                <w:rFonts w:ascii="Calibri" w:hAnsi="Calibri" w:cs="Calibri"/>
                <w:sz w:val="24"/>
              </w:rPr>
              <w:t>Gained as a key UK utility partner for deploying new SMRs, benefiting from the accelerated timeline.</w:t>
            </w:r>
          </w:p>
        </w:tc>
      </w:tr>
    </w:tbl>
    <w:p w14:paraId="01FEA86E" w14:textId="77777777" w:rsidR="00C8080B" w:rsidRDefault="00C8080B" w:rsidP="00C8080B">
      <w:pPr>
        <w:rPr>
          <w:rFonts w:ascii="Calibri" w:hAnsi="Calibri" w:cs="Calibri"/>
          <w:sz w:val="24"/>
        </w:rPr>
      </w:pPr>
    </w:p>
    <w:p w14:paraId="5654283C" w14:textId="31D670AD" w:rsidR="00C652D8" w:rsidRDefault="00C652D8" w:rsidP="00C8080B">
      <w:pPr>
        <w:rPr>
          <w:rFonts w:ascii="Calibri" w:hAnsi="Calibri" w:cs="Calibri"/>
          <w:sz w:val="24"/>
        </w:rPr>
      </w:pPr>
      <w:r w:rsidRPr="00C652D8">
        <w:rPr>
          <w:rFonts w:ascii="Calibri" w:hAnsi="Calibri" w:cs="Calibri"/>
          <w:sz w:val="24"/>
        </w:rPr>
        <w:t>After the sharp, double-digit run-up in many of these stocks, it is highly probable that the market will enter a consolidation phase next week. The initial euphoria from the announcement has been priced in. Now, investors will be digesting the details, and many who saw quick profits may look to sell, creating downward pressure.</w:t>
      </w:r>
    </w:p>
    <w:p w14:paraId="472ED601" w14:textId="26927659" w:rsidR="00C652D8" w:rsidRPr="00C652D8" w:rsidRDefault="00C652D8" w:rsidP="00C8080B">
      <w:pPr>
        <w:rPr>
          <w:rFonts w:ascii="Calibri" w:hAnsi="Calibri" w:cs="Calibri"/>
          <w:sz w:val="24"/>
        </w:rPr>
      </w:pPr>
      <w:r>
        <w:rPr>
          <w:noProof/>
        </w:rPr>
        <w:drawing>
          <wp:inline distT="0" distB="0" distL="0" distR="0" wp14:anchorId="0BC71338" wp14:editId="62E8E6D6">
            <wp:extent cx="1432951" cy="1209312"/>
            <wp:effectExtent l="0" t="0" r="0" b="0"/>
            <wp:docPr id="6678104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10474" name=""/>
                    <pic:cNvPicPr/>
                  </pic:nvPicPr>
                  <pic:blipFill>
                    <a:blip r:embed="rId6"/>
                    <a:stretch>
                      <a:fillRect/>
                    </a:stretch>
                  </pic:blipFill>
                  <pic:spPr>
                    <a:xfrm>
                      <a:off x="0" y="0"/>
                      <a:ext cx="1440396" cy="1215595"/>
                    </a:xfrm>
                    <a:prstGeom prst="rect">
                      <a:avLst/>
                    </a:prstGeom>
                  </pic:spPr>
                </pic:pic>
              </a:graphicData>
            </a:graphic>
          </wp:inline>
        </w:drawing>
      </w:r>
      <w:r w:rsidRPr="00C652D8">
        <w:rPr>
          <w:noProof/>
        </w:rPr>
        <w:t xml:space="preserve"> </w:t>
      </w:r>
      <w:r>
        <w:rPr>
          <w:noProof/>
        </w:rPr>
        <w:drawing>
          <wp:inline distT="0" distB="0" distL="0" distR="0" wp14:anchorId="73987C6F" wp14:editId="5031518D">
            <wp:extent cx="1906976" cy="1247775"/>
            <wp:effectExtent l="0" t="0" r="0" b="0"/>
            <wp:docPr id="17091676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67678" name=""/>
                    <pic:cNvPicPr/>
                  </pic:nvPicPr>
                  <pic:blipFill>
                    <a:blip r:embed="rId7"/>
                    <a:stretch>
                      <a:fillRect/>
                    </a:stretch>
                  </pic:blipFill>
                  <pic:spPr>
                    <a:xfrm>
                      <a:off x="0" y="0"/>
                      <a:ext cx="1911711" cy="1250873"/>
                    </a:xfrm>
                    <a:prstGeom prst="rect">
                      <a:avLst/>
                    </a:prstGeom>
                  </pic:spPr>
                </pic:pic>
              </a:graphicData>
            </a:graphic>
          </wp:inline>
        </w:drawing>
      </w:r>
      <w:r w:rsidRPr="00C652D8">
        <w:rPr>
          <w:noProof/>
        </w:rPr>
        <w:t xml:space="preserve"> </w:t>
      </w:r>
      <w:r>
        <w:rPr>
          <w:noProof/>
        </w:rPr>
        <w:drawing>
          <wp:inline distT="0" distB="0" distL="0" distR="0" wp14:anchorId="48C9E364" wp14:editId="05402BE0">
            <wp:extent cx="1654559" cy="1163151"/>
            <wp:effectExtent l="0" t="0" r="3175" b="0"/>
            <wp:docPr id="16083011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01185" name=""/>
                    <pic:cNvPicPr/>
                  </pic:nvPicPr>
                  <pic:blipFill>
                    <a:blip r:embed="rId8"/>
                    <a:stretch>
                      <a:fillRect/>
                    </a:stretch>
                  </pic:blipFill>
                  <pic:spPr>
                    <a:xfrm>
                      <a:off x="0" y="0"/>
                      <a:ext cx="1656968" cy="1164845"/>
                    </a:xfrm>
                    <a:prstGeom prst="rect">
                      <a:avLst/>
                    </a:prstGeom>
                  </pic:spPr>
                </pic:pic>
              </a:graphicData>
            </a:graphic>
          </wp:inline>
        </w:drawing>
      </w:r>
    </w:p>
    <w:p w14:paraId="1A656614" w14:textId="1AE4C754" w:rsidR="00C8080B" w:rsidRDefault="00C8080B" w:rsidP="00C8080B">
      <w:pPr>
        <w:pStyle w:val="a9"/>
        <w:ind w:left="360"/>
        <w:rPr>
          <w:rFonts w:ascii="Calibri" w:hAnsi="Calibri" w:cs="Calibri"/>
          <w:sz w:val="24"/>
        </w:rPr>
      </w:pPr>
      <w:r>
        <w:rPr>
          <w:noProof/>
        </w:rPr>
        <w:lastRenderedPageBreak/>
        <w:drawing>
          <wp:inline distT="0" distB="0" distL="0" distR="0" wp14:anchorId="3C7086B9" wp14:editId="54A5C8ED">
            <wp:extent cx="2305050" cy="1454461"/>
            <wp:effectExtent l="0" t="0" r="0" b="0"/>
            <wp:docPr id="521924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24512" name=""/>
                    <pic:cNvPicPr/>
                  </pic:nvPicPr>
                  <pic:blipFill>
                    <a:blip r:embed="rId9"/>
                    <a:stretch>
                      <a:fillRect/>
                    </a:stretch>
                  </pic:blipFill>
                  <pic:spPr>
                    <a:xfrm>
                      <a:off x="0" y="0"/>
                      <a:ext cx="2320957" cy="1464498"/>
                    </a:xfrm>
                    <a:prstGeom prst="rect">
                      <a:avLst/>
                    </a:prstGeom>
                  </pic:spPr>
                </pic:pic>
              </a:graphicData>
            </a:graphic>
          </wp:inline>
        </w:drawing>
      </w:r>
      <w:r w:rsidRPr="00C8080B">
        <w:rPr>
          <w:noProof/>
        </w:rPr>
        <w:t xml:space="preserve"> </w:t>
      </w:r>
      <w:r>
        <w:rPr>
          <w:noProof/>
        </w:rPr>
        <w:drawing>
          <wp:inline distT="0" distB="0" distL="0" distR="0" wp14:anchorId="7C2FE11E" wp14:editId="24849B6F">
            <wp:extent cx="2401787" cy="1457960"/>
            <wp:effectExtent l="0" t="0" r="0" b="8890"/>
            <wp:docPr id="389946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46779" name=""/>
                    <pic:cNvPicPr/>
                  </pic:nvPicPr>
                  <pic:blipFill>
                    <a:blip r:embed="rId10"/>
                    <a:stretch>
                      <a:fillRect/>
                    </a:stretch>
                  </pic:blipFill>
                  <pic:spPr>
                    <a:xfrm>
                      <a:off x="0" y="0"/>
                      <a:ext cx="2409558" cy="1462677"/>
                    </a:xfrm>
                    <a:prstGeom prst="rect">
                      <a:avLst/>
                    </a:prstGeom>
                  </pic:spPr>
                </pic:pic>
              </a:graphicData>
            </a:graphic>
          </wp:inline>
        </w:drawing>
      </w:r>
      <w:r w:rsidRPr="00C8080B">
        <w:rPr>
          <w:noProof/>
        </w:rPr>
        <w:t xml:space="preserve"> </w:t>
      </w:r>
      <w:r>
        <w:rPr>
          <w:noProof/>
        </w:rPr>
        <w:drawing>
          <wp:inline distT="0" distB="0" distL="0" distR="0" wp14:anchorId="39B4A7B3" wp14:editId="584473BC">
            <wp:extent cx="2333625" cy="1500868"/>
            <wp:effectExtent l="0" t="0" r="0" b="4445"/>
            <wp:docPr id="15694284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28493" name=""/>
                    <pic:cNvPicPr/>
                  </pic:nvPicPr>
                  <pic:blipFill>
                    <a:blip r:embed="rId11"/>
                    <a:stretch>
                      <a:fillRect/>
                    </a:stretch>
                  </pic:blipFill>
                  <pic:spPr>
                    <a:xfrm>
                      <a:off x="0" y="0"/>
                      <a:ext cx="2348938" cy="1510716"/>
                    </a:xfrm>
                    <a:prstGeom prst="rect">
                      <a:avLst/>
                    </a:prstGeom>
                  </pic:spPr>
                </pic:pic>
              </a:graphicData>
            </a:graphic>
          </wp:inline>
        </w:drawing>
      </w:r>
      <w:r w:rsidRPr="00C8080B">
        <w:rPr>
          <w:noProof/>
        </w:rPr>
        <w:t xml:space="preserve"> </w:t>
      </w:r>
      <w:r>
        <w:rPr>
          <w:noProof/>
        </w:rPr>
        <w:drawing>
          <wp:inline distT="0" distB="0" distL="0" distR="0" wp14:anchorId="541DF02F" wp14:editId="183B248B">
            <wp:extent cx="2419350" cy="1508816"/>
            <wp:effectExtent l="0" t="0" r="0" b="0"/>
            <wp:docPr id="18003693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69387" name=""/>
                    <pic:cNvPicPr/>
                  </pic:nvPicPr>
                  <pic:blipFill>
                    <a:blip r:embed="rId12"/>
                    <a:stretch>
                      <a:fillRect/>
                    </a:stretch>
                  </pic:blipFill>
                  <pic:spPr>
                    <a:xfrm>
                      <a:off x="0" y="0"/>
                      <a:ext cx="2422087" cy="1510523"/>
                    </a:xfrm>
                    <a:prstGeom prst="rect">
                      <a:avLst/>
                    </a:prstGeom>
                  </pic:spPr>
                </pic:pic>
              </a:graphicData>
            </a:graphic>
          </wp:inline>
        </w:drawing>
      </w:r>
    </w:p>
    <w:p w14:paraId="49052BC2" w14:textId="77777777" w:rsidR="00DB2E5F" w:rsidRPr="00DB2E5F" w:rsidRDefault="00DB2E5F" w:rsidP="00DB2E5F">
      <w:pPr>
        <w:rPr>
          <w:rFonts w:ascii="Calibri" w:hAnsi="Calibri" w:cs="Calibri"/>
          <w:sz w:val="24"/>
        </w:rPr>
      </w:pPr>
      <w:r w:rsidRPr="00DB2E5F">
        <w:rPr>
          <w:rFonts w:ascii="Calibri" w:hAnsi="Calibri" w:cs="Calibri"/>
          <w:sz w:val="24"/>
        </w:rPr>
        <w:t>Beyond the direct beneficiaries, savvy investors can look to the deal's second-order effects. This massive tech and energy build-out requires a vast supporting ecosystem, creating a "picks and shovels" opportunity. This includes investing in the raw materials essential for the expansion, such as uranium for the new reactors and copper for data centers. It also involves the specialized engineering and construction firms that will physically build these facilities, and the critical cybersecurity companies that will be hired to protect this new national infrastructure from digital threats.</w:t>
      </w:r>
    </w:p>
    <w:p w14:paraId="772C7BEC" w14:textId="4C6A2C03" w:rsidR="00C8080B" w:rsidRPr="00DB2E5F" w:rsidRDefault="00DB2E5F" w:rsidP="00C8080B">
      <w:pPr>
        <w:rPr>
          <w:rFonts w:ascii="Calibri" w:hAnsi="Calibri" w:cs="Calibri"/>
          <w:sz w:val="24"/>
        </w:rPr>
      </w:pPr>
      <w:r w:rsidRPr="00DB2E5F">
        <w:rPr>
          <w:rFonts w:ascii="Calibri" w:hAnsi="Calibri" w:cs="Calibri"/>
          <w:sz w:val="24"/>
        </w:rPr>
        <w:t xml:space="preserve">Furthermore, the partnership acts as a significant catalyst for the entire UK economy, presenting a broader macro-level trade. This landmark foreign investment could strengthen the country's economic outlook, making a direct investment in the British Pound (GBP) a compelling forex </w:t>
      </w:r>
      <w:proofErr w:type="gramStart"/>
      <w:r w:rsidRPr="00DB2E5F">
        <w:rPr>
          <w:rFonts w:ascii="Calibri" w:hAnsi="Calibri" w:cs="Calibri"/>
          <w:sz w:val="24"/>
        </w:rPr>
        <w:t>play</w:t>
      </w:r>
      <w:proofErr w:type="gramEnd"/>
      <w:r w:rsidRPr="00DB2E5F">
        <w:rPr>
          <w:rFonts w:ascii="Calibri" w:hAnsi="Calibri" w:cs="Calibri"/>
          <w:sz w:val="24"/>
        </w:rPr>
        <w:t>. Alternatively, for those looking for equity exposure without picking individual stocks, investing in a UK-focused ETF offers a way to capitalize on the overall positive economic tide and renewed investor confidence in the British market.</w:t>
      </w:r>
    </w:p>
    <w:sectPr w:rsidR="00C8080B" w:rsidRPr="00DB2E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506D6"/>
    <w:multiLevelType w:val="multilevel"/>
    <w:tmpl w:val="0296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6B3521"/>
    <w:multiLevelType w:val="multilevel"/>
    <w:tmpl w:val="077A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55541C"/>
    <w:multiLevelType w:val="multilevel"/>
    <w:tmpl w:val="D7FE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492F6E"/>
    <w:multiLevelType w:val="hybridMultilevel"/>
    <w:tmpl w:val="B656B062"/>
    <w:lvl w:ilvl="0" w:tplc="5B646C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E350EA3"/>
    <w:multiLevelType w:val="hybridMultilevel"/>
    <w:tmpl w:val="BA028FDC"/>
    <w:lvl w:ilvl="0" w:tplc="4912A5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9605792">
    <w:abstractNumId w:val="2"/>
  </w:num>
  <w:num w:numId="2" w16cid:durableId="555622776">
    <w:abstractNumId w:val="1"/>
  </w:num>
  <w:num w:numId="3" w16cid:durableId="1238245191">
    <w:abstractNumId w:val="3"/>
  </w:num>
  <w:num w:numId="4" w16cid:durableId="280841051">
    <w:abstractNumId w:val="0"/>
  </w:num>
  <w:num w:numId="5" w16cid:durableId="13523367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11A"/>
    <w:rsid w:val="0027611A"/>
    <w:rsid w:val="002D42FB"/>
    <w:rsid w:val="003A5097"/>
    <w:rsid w:val="003A6AFF"/>
    <w:rsid w:val="00467A26"/>
    <w:rsid w:val="006E035F"/>
    <w:rsid w:val="006F59E5"/>
    <w:rsid w:val="00BD0D11"/>
    <w:rsid w:val="00C652D8"/>
    <w:rsid w:val="00C8080B"/>
    <w:rsid w:val="00C83925"/>
    <w:rsid w:val="00D05238"/>
    <w:rsid w:val="00DB2E5F"/>
    <w:rsid w:val="00F81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92E782"/>
  <w15:chartTrackingRefBased/>
  <w15:docId w15:val="{3A1AFE9E-6D64-472C-994F-DDC0ADCD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3925"/>
    <w:pPr>
      <w:widowControl w:val="0"/>
    </w:pPr>
  </w:style>
  <w:style w:type="paragraph" w:styleId="1">
    <w:name w:val="heading 1"/>
    <w:basedOn w:val="a"/>
    <w:next w:val="a"/>
    <w:link w:val="10"/>
    <w:uiPriority w:val="9"/>
    <w:qFormat/>
    <w:rsid w:val="0027611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27611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27611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27611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7611A"/>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27611A"/>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7611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7611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7611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611A"/>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27611A"/>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27611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27611A"/>
    <w:rPr>
      <w:rFonts w:cstheme="majorBidi"/>
      <w:color w:val="2F5496" w:themeColor="accent1" w:themeShade="BF"/>
      <w:sz w:val="28"/>
      <w:szCs w:val="28"/>
    </w:rPr>
  </w:style>
  <w:style w:type="character" w:customStyle="1" w:styleId="50">
    <w:name w:val="标题 5 字符"/>
    <w:basedOn w:val="a0"/>
    <w:link w:val="5"/>
    <w:uiPriority w:val="9"/>
    <w:semiHidden/>
    <w:rsid w:val="0027611A"/>
    <w:rPr>
      <w:rFonts w:cstheme="majorBidi"/>
      <w:color w:val="2F5496" w:themeColor="accent1" w:themeShade="BF"/>
      <w:sz w:val="24"/>
    </w:rPr>
  </w:style>
  <w:style w:type="character" w:customStyle="1" w:styleId="60">
    <w:name w:val="标题 6 字符"/>
    <w:basedOn w:val="a0"/>
    <w:link w:val="6"/>
    <w:uiPriority w:val="9"/>
    <w:semiHidden/>
    <w:rsid w:val="0027611A"/>
    <w:rPr>
      <w:rFonts w:cstheme="majorBidi"/>
      <w:b/>
      <w:bCs/>
      <w:color w:val="2F5496" w:themeColor="accent1" w:themeShade="BF"/>
    </w:rPr>
  </w:style>
  <w:style w:type="character" w:customStyle="1" w:styleId="70">
    <w:name w:val="标题 7 字符"/>
    <w:basedOn w:val="a0"/>
    <w:link w:val="7"/>
    <w:uiPriority w:val="9"/>
    <w:semiHidden/>
    <w:rsid w:val="0027611A"/>
    <w:rPr>
      <w:rFonts w:cstheme="majorBidi"/>
      <w:b/>
      <w:bCs/>
      <w:color w:val="595959" w:themeColor="text1" w:themeTint="A6"/>
    </w:rPr>
  </w:style>
  <w:style w:type="character" w:customStyle="1" w:styleId="80">
    <w:name w:val="标题 8 字符"/>
    <w:basedOn w:val="a0"/>
    <w:link w:val="8"/>
    <w:uiPriority w:val="9"/>
    <w:semiHidden/>
    <w:rsid w:val="0027611A"/>
    <w:rPr>
      <w:rFonts w:cstheme="majorBidi"/>
      <w:color w:val="595959" w:themeColor="text1" w:themeTint="A6"/>
    </w:rPr>
  </w:style>
  <w:style w:type="character" w:customStyle="1" w:styleId="90">
    <w:name w:val="标题 9 字符"/>
    <w:basedOn w:val="a0"/>
    <w:link w:val="9"/>
    <w:uiPriority w:val="9"/>
    <w:semiHidden/>
    <w:rsid w:val="0027611A"/>
    <w:rPr>
      <w:rFonts w:eastAsiaTheme="majorEastAsia" w:cstheme="majorBidi"/>
      <w:color w:val="595959" w:themeColor="text1" w:themeTint="A6"/>
    </w:rPr>
  </w:style>
  <w:style w:type="paragraph" w:styleId="a3">
    <w:name w:val="Title"/>
    <w:basedOn w:val="a"/>
    <w:next w:val="a"/>
    <w:link w:val="a4"/>
    <w:uiPriority w:val="10"/>
    <w:qFormat/>
    <w:rsid w:val="0027611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761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7611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7611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7611A"/>
    <w:pPr>
      <w:spacing w:before="160"/>
      <w:jc w:val="center"/>
    </w:pPr>
    <w:rPr>
      <w:i/>
      <w:iCs/>
      <w:color w:val="404040" w:themeColor="text1" w:themeTint="BF"/>
    </w:rPr>
  </w:style>
  <w:style w:type="character" w:customStyle="1" w:styleId="a8">
    <w:name w:val="引用 字符"/>
    <w:basedOn w:val="a0"/>
    <w:link w:val="a7"/>
    <w:uiPriority w:val="29"/>
    <w:rsid w:val="0027611A"/>
    <w:rPr>
      <w:i/>
      <w:iCs/>
      <w:color w:val="404040" w:themeColor="text1" w:themeTint="BF"/>
    </w:rPr>
  </w:style>
  <w:style w:type="paragraph" w:styleId="a9">
    <w:name w:val="List Paragraph"/>
    <w:basedOn w:val="a"/>
    <w:uiPriority w:val="34"/>
    <w:qFormat/>
    <w:rsid w:val="0027611A"/>
    <w:pPr>
      <w:ind w:left="720"/>
      <w:contextualSpacing/>
    </w:pPr>
  </w:style>
  <w:style w:type="character" w:styleId="aa">
    <w:name w:val="Intense Emphasis"/>
    <w:basedOn w:val="a0"/>
    <w:uiPriority w:val="21"/>
    <w:qFormat/>
    <w:rsid w:val="0027611A"/>
    <w:rPr>
      <w:i/>
      <w:iCs/>
      <w:color w:val="2F5496" w:themeColor="accent1" w:themeShade="BF"/>
    </w:rPr>
  </w:style>
  <w:style w:type="paragraph" w:styleId="ab">
    <w:name w:val="Intense Quote"/>
    <w:basedOn w:val="a"/>
    <w:next w:val="a"/>
    <w:link w:val="ac"/>
    <w:uiPriority w:val="30"/>
    <w:qFormat/>
    <w:rsid w:val="002761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7611A"/>
    <w:rPr>
      <w:i/>
      <w:iCs/>
      <w:color w:val="2F5496" w:themeColor="accent1" w:themeShade="BF"/>
    </w:rPr>
  </w:style>
  <w:style w:type="character" w:styleId="ad">
    <w:name w:val="Intense Reference"/>
    <w:basedOn w:val="a0"/>
    <w:uiPriority w:val="32"/>
    <w:qFormat/>
    <w:rsid w:val="0027611A"/>
    <w:rPr>
      <w:b/>
      <w:bCs/>
      <w:smallCaps/>
      <w:color w:val="2F5496" w:themeColor="accent1" w:themeShade="BF"/>
      <w:spacing w:val="5"/>
    </w:rPr>
  </w:style>
  <w:style w:type="character" w:styleId="ae">
    <w:name w:val="Hyperlink"/>
    <w:basedOn w:val="a0"/>
    <w:uiPriority w:val="99"/>
    <w:unhideWhenUsed/>
    <w:rsid w:val="00C83925"/>
    <w:rPr>
      <w:color w:val="0563C1" w:themeColor="hyperlink"/>
      <w:u w:val="single"/>
    </w:rPr>
  </w:style>
  <w:style w:type="character" w:styleId="af">
    <w:name w:val="Unresolved Mention"/>
    <w:basedOn w:val="a0"/>
    <w:uiPriority w:val="99"/>
    <w:semiHidden/>
    <w:unhideWhenUsed/>
    <w:rsid w:val="00C839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ov.uk/government/publications/ai-opportunities-action-plan/ai-opportunities-action-pla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1174</Words>
  <Characters>6651</Characters>
  <Application>Microsoft Office Word</Application>
  <DocSecurity>0</DocSecurity>
  <Lines>266</Lines>
  <Paragraphs>166</Paragraphs>
  <ScaleCrop>false</ScaleCrop>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Sixuan Xu</dc:creator>
  <cp:keywords/>
  <dc:description/>
  <cp:lastModifiedBy>Sixuan Xu</cp:lastModifiedBy>
  <cp:revision>15</cp:revision>
  <dcterms:created xsi:type="dcterms:W3CDTF">2025-09-21T20:14:00Z</dcterms:created>
  <dcterms:modified xsi:type="dcterms:W3CDTF">2025-09-27T19:44:00Z</dcterms:modified>
</cp:coreProperties>
</file>