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B484" w14:textId="77777777" w:rsidR="000B6781" w:rsidRDefault="00AE213B">
      <w:pPr>
        <w:spacing w:before="1800"/>
        <w:jc w:val="center"/>
      </w:pPr>
      <w:r>
        <w:rPr>
          <w:rFonts w:eastAsia="Arial" w:cs="Arial"/>
        </w:rPr>
        <w:t>EXPLAINABLE MACHINE LEARNING FOR FRAUD DETECTION IN THE SOUTH AFRICAN FINANCIAL SECTOR</w:t>
      </w:r>
    </w:p>
    <w:p w14:paraId="20850C77" w14:textId="77777777" w:rsidR="000B6781" w:rsidRDefault="00AE213B">
      <w:pPr>
        <w:jc w:val="center"/>
      </w:pPr>
      <w:r>
        <w:rPr>
          <w:rFonts w:eastAsia="Arial" w:cs="Arial"/>
        </w:rPr>
        <w:t>Final Research Report</w:t>
      </w:r>
    </w:p>
    <w:p w14:paraId="2B3BE2E9" w14:textId="77777777" w:rsidR="000B6781" w:rsidRDefault="00AE213B">
      <w:pPr>
        <w:jc w:val="center"/>
      </w:pPr>
      <w:r>
        <w:rPr>
          <w:rFonts w:eastAsia="Arial" w:cs="Arial"/>
        </w:rPr>
        <w:t>Research Project RPDA8412</w:t>
      </w:r>
    </w:p>
    <w:p w14:paraId="337CC888" w14:textId="77777777" w:rsidR="000B6781" w:rsidRDefault="000B6781">
      <w:pPr>
        <w:jc w:val="center"/>
      </w:pPr>
    </w:p>
    <w:p w14:paraId="5525D29C" w14:textId="77777777" w:rsidR="000B6781" w:rsidRDefault="00AE213B">
      <w:pPr>
        <w:jc w:val="center"/>
      </w:pPr>
      <w:r>
        <w:rPr>
          <w:rFonts w:eastAsia="Arial" w:cs="Arial"/>
        </w:rPr>
        <w:t>Siyabonga Masethabe Londani Mfusi</w:t>
      </w:r>
    </w:p>
    <w:p w14:paraId="270D9645" w14:textId="77777777" w:rsidR="000B6781" w:rsidRDefault="00AE213B">
      <w:pPr>
        <w:jc w:val="center"/>
      </w:pPr>
      <w:r>
        <w:rPr>
          <w:rFonts w:eastAsia="Arial" w:cs="Arial"/>
        </w:rPr>
        <w:t>Student number: ST10295312</w:t>
      </w:r>
    </w:p>
    <w:p w14:paraId="4F4AA89C" w14:textId="77777777" w:rsidR="000B6781" w:rsidRDefault="00AE213B">
      <w:pPr>
        <w:jc w:val="center"/>
      </w:pPr>
      <w:r>
        <w:rPr>
          <w:rFonts w:eastAsia="Arial" w:cs="Arial"/>
        </w:rPr>
        <w:t>Postgraduate Diploma in Data Analytics</w:t>
      </w:r>
    </w:p>
    <w:p w14:paraId="7E3356D0" w14:textId="77777777" w:rsidR="000B6781" w:rsidRDefault="00AE213B">
      <w:pPr>
        <w:jc w:val="center"/>
      </w:pPr>
      <w:r>
        <w:rPr>
          <w:rFonts w:eastAsia="Arial" w:cs="Arial"/>
        </w:rPr>
        <w:t>Supervisor: Prof. Lucas Khoza</w:t>
      </w:r>
    </w:p>
    <w:p w14:paraId="12966A38" w14:textId="77777777" w:rsidR="000B6781" w:rsidRDefault="00AE213B">
      <w:r>
        <w:rPr>
          <w:rFonts w:eastAsia="Arial" w:cs="Arial"/>
        </w:rPr>
        <w:br w:type="page"/>
      </w:r>
    </w:p>
    <w:p w14:paraId="2F75952D" w14:textId="77777777" w:rsidR="00D73286" w:rsidRDefault="003405A5">
      <w:pPr>
        <w:pStyle w:val="Heading1"/>
        <w:pageBreakBefore/>
      </w:pPr>
      <w:bookmarkStart w:id="0" w:name="_Toc244188196"/>
      <w:r>
        <w:rPr>
          <w:rFonts w:ascii="Arial" w:eastAsia="Arial" w:hAnsi="Arial" w:cs="Arial"/>
        </w:rPr>
        <w:lastRenderedPageBreak/>
        <w:t>Declaration</w:t>
      </w:r>
      <w:bookmarkEnd w:id="0"/>
    </w:p>
    <w:p w14:paraId="4CE8A6FB" w14:textId="77777777" w:rsidR="00D73286" w:rsidRDefault="003405A5">
      <w:r>
        <w:rPr>
          <w:rFonts w:eastAsia="Arial" w:cs="Arial"/>
        </w:rPr>
        <w:t>I hereby declare that the Research Report submitted for the Postgraduate Diploma in Data Analytics qualification to The Independent Institute of Education is my own work and has not previously been submitted to another University or Higher Education Institution for qualification purposes.</w:t>
      </w:r>
    </w:p>
    <w:p w14:paraId="145AB78A" w14:textId="77777777" w:rsidR="00D73286" w:rsidRDefault="003405A5">
      <w:r>
        <w:rPr>
          <w:rFonts w:eastAsia="Arial" w:cs="Arial"/>
        </w:rPr>
        <w:t>Student name: Siyabonga Masethabe Londani Mfusi</w:t>
      </w:r>
    </w:p>
    <w:p w14:paraId="773FE021" w14:textId="77777777" w:rsidR="00D73286" w:rsidRDefault="003405A5">
      <w:r>
        <w:rPr>
          <w:rFonts w:eastAsia="Arial" w:cs="Arial"/>
        </w:rPr>
        <w:t>Student number: ST10295312</w:t>
      </w:r>
    </w:p>
    <w:p w14:paraId="68863843" w14:textId="77777777" w:rsidR="00D73286" w:rsidRDefault="003405A5">
      <w:r>
        <w:rPr>
          <w:rFonts w:eastAsia="Arial" w:cs="Arial"/>
        </w:rPr>
        <w:t>Date: 27 October 2026</w:t>
      </w:r>
    </w:p>
    <w:p w14:paraId="0029604C" w14:textId="77777777" w:rsidR="00D73286" w:rsidRDefault="003405A5">
      <w:pPr>
        <w:pStyle w:val="Heading1"/>
        <w:pageBreakBefore/>
      </w:pPr>
      <w:bookmarkStart w:id="1" w:name="_Toc244188197"/>
      <w:r>
        <w:rPr>
          <w:rFonts w:ascii="Arial" w:eastAsia="Arial" w:hAnsi="Arial" w:cs="Arial"/>
        </w:rPr>
        <w:lastRenderedPageBreak/>
        <w:t>AI Use Declaration</w:t>
      </w:r>
      <w:bookmarkEnd w:id="1"/>
    </w:p>
    <w:p w14:paraId="4E60040C" w14:textId="77777777" w:rsidR="00D73286" w:rsidRDefault="003405A5">
      <w:r>
        <w:rPr>
          <w:rFonts w:eastAsia="Arial" w:cs="Arial"/>
        </w:rPr>
        <w:t>Generative AI tools, including ChatGPT and Codex, were used during this research project for planning, research organisation, drafting support, language revision, Python-code assistance, interpretation checks, document formatting and quality assurance. The student selected and refined the research focus, reviewed the cited sources, executed and checked the analytical workflow and outputs, considered all supervisor feedback, and accepts responsibility for the accuracy and integrity of the final submission.</w:t>
      </w:r>
    </w:p>
    <w:p w14:paraId="5488224B" w14:textId="77777777" w:rsidR="00D73286" w:rsidRDefault="003405A5">
      <w:r>
        <w:rPr>
          <w:rFonts w:eastAsia="Arial" w:cs="Arial"/>
        </w:rPr>
        <w:t>Annexure B records the main prompts and AI-assisted activities used during the project. The full conversation records are retained in the student's authenticated account and can be provided to the institution on request. No public share link was created for this submission.</w:t>
      </w:r>
    </w:p>
    <w:p w14:paraId="0598689F" w14:textId="77777777" w:rsidR="00757FB5" w:rsidRDefault="00AE213B">
      <w:pPr>
        <w:pStyle w:val="Heading1"/>
        <w:pageBreakBefore/>
      </w:pPr>
      <w:bookmarkStart w:id="2" w:name="_Toc244188198"/>
      <w:r>
        <w:rPr>
          <w:rFonts w:ascii="Arial" w:eastAsia="Arial" w:hAnsi="Arial" w:cs="Arial"/>
        </w:rPr>
        <w:lastRenderedPageBreak/>
        <w:t>Abstract</w:t>
      </w:r>
      <w:bookmarkEnd w:id="2"/>
    </w:p>
    <w:p w14:paraId="42F25947" w14:textId="77777777" w:rsidR="00757FB5" w:rsidRDefault="00AE213B">
      <w:r>
        <w:rPr>
          <w:rFonts w:eastAsia="Arial" w:cs="Arial"/>
        </w:rPr>
        <w:t>Financial institutions must detect rare fraudulent transactions without overwhelming investigators, unnecessarily interrupting legitimate customers or relying on decisions that cannot be explained. This study evaluated the predictive performance and explainability of Logistic Regression, Decision Tree, Random Forest, linear Support Vector Machine and k-Nearest Neighbours on the public Kaggle Credit Card Fraud Detection dataset. A quantitative experimental design used a stratified 80:20 split that preserved the natural class distribution in the test set. Scaling, majority-class sampling and synthetic minority oversampling were restricted to the training data to reduce leakage risk. The models were compared using precision, recall, F1-score, ROC-AUC, PR-AUC and confusion-matrix outcomes. Random Forest provided the strongest overall balance, achieving precision of 0.475, recall of 0.888, F1-score of 0.619, ROC-AUC of 0.977 and PR-AUC of 0.849. It detected 87 of 98 fraud cases while producing 96 false positives, a substantially lower false-positive burden than the other high-recall models. Global SHAP analysis identified V14, V4, V12, V10 and V17 as the leading model drivers. SHAP and LIME produced complete top-five feature agreement for selected true-positive and true-negative cases, but agreement and repeated LIME stability were lower for selected error cases. The findings show that accuracy alone is inadequate for severely imbalanced fraud detection and that explanation reliability should be evaluated rather than assumed. The historical European dataset and anonymised PCA features prevent direct claims about current South African banking behaviour. The study therefore contributes a reproducible XAI-first evaluation framework and bounded governance guidance rather than a deployable local fraud engine. Responsible use requires recent local validation, cost-sensitive threshold selection, human review, documented challenge and override mechanisms, and continuing performance and explanation monitoring.</w:t>
      </w:r>
    </w:p>
    <w:p w14:paraId="6657D780" w14:textId="77777777" w:rsidR="00757FB5" w:rsidRDefault="00AE213B">
      <w:r>
        <w:rPr>
          <w:rFonts w:eastAsia="Arial" w:cs="Arial"/>
          <w:b/>
        </w:rPr>
        <w:t xml:space="preserve">Keywords: </w:t>
      </w:r>
      <w:r>
        <w:rPr>
          <w:rFonts w:eastAsia="Arial" w:cs="Arial"/>
        </w:rPr>
        <w:t>credit card fraud, machine learning, class imbalance, Random Forest, SHAP, LIME, explainable artificial intelligence, POPIA</w:t>
      </w:r>
    </w:p>
    <w:p w14:paraId="52F33A1E" w14:textId="77777777" w:rsidR="00757FB5" w:rsidRDefault="00AE213B">
      <w:r>
        <w:rPr>
          <w:rFonts w:eastAsia="Arial" w:cs="Arial"/>
        </w:rPr>
        <w:br w:type="page"/>
      </w:r>
    </w:p>
    <w:p w14:paraId="58096AF6" w14:textId="77777777" w:rsidR="00757FB5" w:rsidRDefault="00AE213B">
      <w:pPr>
        <w:pStyle w:val="Heading1"/>
      </w:pPr>
      <w:bookmarkStart w:id="3" w:name="_Toc244188199"/>
      <w:r>
        <w:rPr>
          <w:rFonts w:ascii="Arial" w:eastAsia="Arial" w:hAnsi="Arial" w:cs="Arial"/>
        </w:rPr>
        <w:lastRenderedPageBreak/>
        <w:t>Contents</w:t>
      </w:r>
      <w:bookmarkEnd w:id="3"/>
    </w:p>
    <w:p w14:paraId="54E09A0F" w14:textId="2D90D443" w:rsidR="005E7C3D" w:rsidRDefault="00AE213B">
      <w:pPr>
        <w:pStyle w:val="TOC1"/>
        <w:tabs>
          <w:tab w:val="right" w:leader="dot" w:pos="9628"/>
        </w:tabs>
        <w:rPr>
          <w:rFonts w:asciiTheme="minorHAnsi" w:hAnsiTheme="minorHAnsi"/>
          <w:noProof/>
          <w:color w:val="auto"/>
          <w:kern w:val="2"/>
          <w:szCs w:val="24"/>
          <w:lang w:val="en-ZA" w:eastAsia="en-ZA"/>
          <w14:ligatures w14:val="standardContextual"/>
        </w:rPr>
      </w:pPr>
      <w:r>
        <w:rPr>
          <w:rFonts w:eastAsia="Arial" w:cs="Arial"/>
        </w:rPr>
        <w:fldChar w:fldCharType="begin"/>
      </w:r>
      <w:r>
        <w:rPr>
          <w:rFonts w:eastAsia="Arial" w:cs="Arial"/>
        </w:rPr>
        <w:instrText xml:space="preserve"> TOC \o "1-3" \h \z \u </w:instrText>
      </w:r>
      <w:r>
        <w:rPr>
          <w:rFonts w:eastAsia="Arial" w:cs="Arial"/>
        </w:rPr>
        <w:fldChar w:fldCharType="separate"/>
      </w:r>
      <w:hyperlink w:anchor="_Toc244188196" w:history="1">
        <w:r w:rsidR="005E7C3D" w:rsidRPr="005A573C">
          <w:rPr>
            <w:rStyle w:val="Hyperlink"/>
            <w:rFonts w:eastAsia="Arial" w:cs="Arial"/>
            <w:noProof/>
          </w:rPr>
          <w:t>Declaration</w:t>
        </w:r>
        <w:r w:rsidR="005E7C3D">
          <w:rPr>
            <w:noProof/>
            <w:webHidden/>
          </w:rPr>
          <w:tab/>
        </w:r>
        <w:r w:rsidR="005E7C3D">
          <w:rPr>
            <w:noProof/>
            <w:webHidden/>
          </w:rPr>
          <w:fldChar w:fldCharType="begin"/>
        </w:r>
        <w:r w:rsidR="005E7C3D">
          <w:rPr>
            <w:noProof/>
            <w:webHidden/>
          </w:rPr>
          <w:instrText xml:space="preserve"> PAGEREF _Toc244188196 \h </w:instrText>
        </w:r>
        <w:r w:rsidR="005E7C3D">
          <w:rPr>
            <w:noProof/>
            <w:webHidden/>
          </w:rPr>
        </w:r>
        <w:r w:rsidR="005E7C3D">
          <w:rPr>
            <w:noProof/>
            <w:webHidden/>
          </w:rPr>
          <w:fldChar w:fldCharType="separate"/>
        </w:r>
        <w:r w:rsidR="005E7C3D">
          <w:rPr>
            <w:noProof/>
            <w:webHidden/>
          </w:rPr>
          <w:t>2</w:t>
        </w:r>
        <w:r w:rsidR="005E7C3D">
          <w:rPr>
            <w:noProof/>
            <w:webHidden/>
          </w:rPr>
          <w:fldChar w:fldCharType="end"/>
        </w:r>
      </w:hyperlink>
    </w:p>
    <w:p w14:paraId="478308BE" w14:textId="32D6B3AB"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197" w:history="1">
        <w:r w:rsidRPr="005A573C">
          <w:rPr>
            <w:rStyle w:val="Hyperlink"/>
            <w:rFonts w:eastAsia="Arial" w:cs="Arial"/>
            <w:noProof/>
          </w:rPr>
          <w:t>AI Use Declaration</w:t>
        </w:r>
        <w:r>
          <w:rPr>
            <w:noProof/>
            <w:webHidden/>
          </w:rPr>
          <w:tab/>
        </w:r>
        <w:r>
          <w:rPr>
            <w:noProof/>
            <w:webHidden/>
          </w:rPr>
          <w:fldChar w:fldCharType="begin"/>
        </w:r>
        <w:r>
          <w:rPr>
            <w:noProof/>
            <w:webHidden/>
          </w:rPr>
          <w:instrText xml:space="preserve"> PAGEREF _Toc244188197 \h </w:instrText>
        </w:r>
        <w:r>
          <w:rPr>
            <w:noProof/>
            <w:webHidden/>
          </w:rPr>
        </w:r>
        <w:r>
          <w:rPr>
            <w:noProof/>
            <w:webHidden/>
          </w:rPr>
          <w:fldChar w:fldCharType="separate"/>
        </w:r>
        <w:r>
          <w:rPr>
            <w:noProof/>
            <w:webHidden/>
          </w:rPr>
          <w:t>3</w:t>
        </w:r>
        <w:r>
          <w:rPr>
            <w:noProof/>
            <w:webHidden/>
          </w:rPr>
          <w:fldChar w:fldCharType="end"/>
        </w:r>
      </w:hyperlink>
    </w:p>
    <w:p w14:paraId="08F32BF5" w14:textId="2385A0F6"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198" w:history="1">
        <w:r w:rsidRPr="005A573C">
          <w:rPr>
            <w:rStyle w:val="Hyperlink"/>
            <w:rFonts w:eastAsia="Arial" w:cs="Arial"/>
            <w:noProof/>
          </w:rPr>
          <w:t>Abstract</w:t>
        </w:r>
        <w:r>
          <w:rPr>
            <w:noProof/>
            <w:webHidden/>
          </w:rPr>
          <w:tab/>
        </w:r>
        <w:r>
          <w:rPr>
            <w:noProof/>
            <w:webHidden/>
          </w:rPr>
          <w:fldChar w:fldCharType="begin"/>
        </w:r>
        <w:r>
          <w:rPr>
            <w:noProof/>
            <w:webHidden/>
          </w:rPr>
          <w:instrText xml:space="preserve"> PAGEREF _Toc244188198 \h </w:instrText>
        </w:r>
        <w:r>
          <w:rPr>
            <w:noProof/>
            <w:webHidden/>
          </w:rPr>
        </w:r>
        <w:r>
          <w:rPr>
            <w:noProof/>
            <w:webHidden/>
          </w:rPr>
          <w:fldChar w:fldCharType="separate"/>
        </w:r>
        <w:r>
          <w:rPr>
            <w:noProof/>
            <w:webHidden/>
          </w:rPr>
          <w:t>4</w:t>
        </w:r>
        <w:r>
          <w:rPr>
            <w:noProof/>
            <w:webHidden/>
          </w:rPr>
          <w:fldChar w:fldCharType="end"/>
        </w:r>
      </w:hyperlink>
    </w:p>
    <w:p w14:paraId="73E9FBB1" w14:textId="45340223"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199" w:history="1">
        <w:r w:rsidRPr="005A573C">
          <w:rPr>
            <w:rStyle w:val="Hyperlink"/>
            <w:rFonts w:eastAsia="Arial" w:cs="Arial"/>
            <w:noProof/>
          </w:rPr>
          <w:t>Contents</w:t>
        </w:r>
        <w:r>
          <w:rPr>
            <w:noProof/>
            <w:webHidden/>
          </w:rPr>
          <w:tab/>
        </w:r>
        <w:r>
          <w:rPr>
            <w:noProof/>
            <w:webHidden/>
          </w:rPr>
          <w:fldChar w:fldCharType="begin"/>
        </w:r>
        <w:r>
          <w:rPr>
            <w:noProof/>
            <w:webHidden/>
          </w:rPr>
          <w:instrText xml:space="preserve"> PAGEREF _Toc244188199 \h </w:instrText>
        </w:r>
        <w:r>
          <w:rPr>
            <w:noProof/>
            <w:webHidden/>
          </w:rPr>
        </w:r>
        <w:r>
          <w:rPr>
            <w:noProof/>
            <w:webHidden/>
          </w:rPr>
          <w:fldChar w:fldCharType="separate"/>
        </w:r>
        <w:r>
          <w:rPr>
            <w:noProof/>
            <w:webHidden/>
          </w:rPr>
          <w:t>5</w:t>
        </w:r>
        <w:r>
          <w:rPr>
            <w:noProof/>
            <w:webHidden/>
          </w:rPr>
          <w:fldChar w:fldCharType="end"/>
        </w:r>
      </w:hyperlink>
    </w:p>
    <w:p w14:paraId="72699D26" w14:textId="59F61EDC"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00" w:history="1">
        <w:r w:rsidRPr="005A573C">
          <w:rPr>
            <w:rStyle w:val="Hyperlink"/>
            <w:rFonts w:eastAsia="Arial" w:cs="Arial"/>
            <w:noProof/>
          </w:rPr>
          <w:t>List of Tables</w:t>
        </w:r>
        <w:r>
          <w:rPr>
            <w:noProof/>
            <w:webHidden/>
          </w:rPr>
          <w:tab/>
        </w:r>
        <w:r>
          <w:rPr>
            <w:noProof/>
            <w:webHidden/>
          </w:rPr>
          <w:fldChar w:fldCharType="begin"/>
        </w:r>
        <w:r>
          <w:rPr>
            <w:noProof/>
            <w:webHidden/>
          </w:rPr>
          <w:instrText xml:space="preserve"> PAGEREF _Toc244188200 \h </w:instrText>
        </w:r>
        <w:r>
          <w:rPr>
            <w:noProof/>
            <w:webHidden/>
          </w:rPr>
        </w:r>
        <w:r>
          <w:rPr>
            <w:noProof/>
            <w:webHidden/>
          </w:rPr>
          <w:fldChar w:fldCharType="separate"/>
        </w:r>
        <w:r>
          <w:rPr>
            <w:noProof/>
            <w:webHidden/>
          </w:rPr>
          <w:t>8</w:t>
        </w:r>
        <w:r>
          <w:rPr>
            <w:noProof/>
            <w:webHidden/>
          </w:rPr>
          <w:fldChar w:fldCharType="end"/>
        </w:r>
      </w:hyperlink>
    </w:p>
    <w:p w14:paraId="58BEB1B7" w14:textId="0226EF46"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01" w:history="1">
        <w:r w:rsidRPr="005A573C">
          <w:rPr>
            <w:rStyle w:val="Hyperlink"/>
            <w:rFonts w:eastAsia="Arial" w:cs="Arial"/>
            <w:noProof/>
          </w:rPr>
          <w:t>List of Figures</w:t>
        </w:r>
        <w:r>
          <w:rPr>
            <w:noProof/>
            <w:webHidden/>
          </w:rPr>
          <w:tab/>
        </w:r>
        <w:r>
          <w:rPr>
            <w:noProof/>
            <w:webHidden/>
          </w:rPr>
          <w:fldChar w:fldCharType="begin"/>
        </w:r>
        <w:r>
          <w:rPr>
            <w:noProof/>
            <w:webHidden/>
          </w:rPr>
          <w:instrText xml:space="preserve"> PAGEREF _Toc244188201 \h </w:instrText>
        </w:r>
        <w:r>
          <w:rPr>
            <w:noProof/>
            <w:webHidden/>
          </w:rPr>
        </w:r>
        <w:r>
          <w:rPr>
            <w:noProof/>
            <w:webHidden/>
          </w:rPr>
          <w:fldChar w:fldCharType="separate"/>
        </w:r>
        <w:r>
          <w:rPr>
            <w:noProof/>
            <w:webHidden/>
          </w:rPr>
          <w:t>8</w:t>
        </w:r>
        <w:r>
          <w:rPr>
            <w:noProof/>
            <w:webHidden/>
          </w:rPr>
          <w:fldChar w:fldCharType="end"/>
        </w:r>
      </w:hyperlink>
    </w:p>
    <w:p w14:paraId="26B49D83" w14:textId="20F20D4A"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02" w:history="1">
        <w:r w:rsidRPr="005A573C">
          <w:rPr>
            <w:rStyle w:val="Hyperlink"/>
            <w:rFonts w:eastAsia="Arial" w:cs="Arial"/>
            <w:noProof/>
          </w:rPr>
          <w:t>List of Annexures</w:t>
        </w:r>
        <w:r>
          <w:rPr>
            <w:noProof/>
            <w:webHidden/>
          </w:rPr>
          <w:tab/>
        </w:r>
        <w:r>
          <w:rPr>
            <w:noProof/>
            <w:webHidden/>
          </w:rPr>
          <w:fldChar w:fldCharType="begin"/>
        </w:r>
        <w:r>
          <w:rPr>
            <w:noProof/>
            <w:webHidden/>
          </w:rPr>
          <w:instrText xml:space="preserve"> PAGEREF _Toc244188202 \h </w:instrText>
        </w:r>
        <w:r>
          <w:rPr>
            <w:noProof/>
            <w:webHidden/>
          </w:rPr>
        </w:r>
        <w:r>
          <w:rPr>
            <w:noProof/>
            <w:webHidden/>
          </w:rPr>
          <w:fldChar w:fldCharType="separate"/>
        </w:r>
        <w:r>
          <w:rPr>
            <w:noProof/>
            <w:webHidden/>
          </w:rPr>
          <w:t>9</w:t>
        </w:r>
        <w:r>
          <w:rPr>
            <w:noProof/>
            <w:webHidden/>
          </w:rPr>
          <w:fldChar w:fldCharType="end"/>
        </w:r>
      </w:hyperlink>
    </w:p>
    <w:p w14:paraId="7A0B70DF" w14:textId="41ECB4BD"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03" w:history="1">
        <w:r w:rsidRPr="005A573C">
          <w:rPr>
            <w:rStyle w:val="Hyperlink"/>
            <w:rFonts w:eastAsia="Arial" w:cs="Arial"/>
            <w:noProof/>
          </w:rPr>
          <w:t>Chapter 1: Introduction</w:t>
        </w:r>
        <w:r>
          <w:rPr>
            <w:noProof/>
            <w:webHidden/>
          </w:rPr>
          <w:tab/>
        </w:r>
        <w:r>
          <w:rPr>
            <w:noProof/>
            <w:webHidden/>
          </w:rPr>
          <w:fldChar w:fldCharType="begin"/>
        </w:r>
        <w:r>
          <w:rPr>
            <w:noProof/>
            <w:webHidden/>
          </w:rPr>
          <w:instrText xml:space="preserve"> PAGEREF _Toc244188203 \h </w:instrText>
        </w:r>
        <w:r>
          <w:rPr>
            <w:noProof/>
            <w:webHidden/>
          </w:rPr>
        </w:r>
        <w:r>
          <w:rPr>
            <w:noProof/>
            <w:webHidden/>
          </w:rPr>
          <w:fldChar w:fldCharType="separate"/>
        </w:r>
        <w:r>
          <w:rPr>
            <w:noProof/>
            <w:webHidden/>
          </w:rPr>
          <w:t>10</w:t>
        </w:r>
        <w:r>
          <w:rPr>
            <w:noProof/>
            <w:webHidden/>
          </w:rPr>
          <w:fldChar w:fldCharType="end"/>
        </w:r>
      </w:hyperlink>
    </w:p>
    <w:p w14:paraId="23F60364" w14:textId="6312D5E3"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04" w:history="1">
        <w:r w:rsidRPr="005A573C">
          <w:rPr>
            <w:rStyle w:val="Hyperlink"/>
            <w:rFonts w:eastAsia="Arial" w:cs="Arial"/>
            <w:noProof/>
          </w:rPr>
          <w:t>1.1 Background and societal context</w:t>
        </w:r>
        <w:r>
          <w:rPr>
            <w:noProof/>
            <w:webHidden/>
          </w:rPr>
          <w:tab/>
        </w:r>
        <w:r>
          <w:rPr>
            <w:noProof/>
            <w:webHidden/>
          </w:rPr>
          <w:fldChar w:fldCharType="begin"/>
        </w:r>
        <w:r>
          <w:rPr>
            <w:noProof/>
            <w:webHidden/>
          </w:rPr>
          <w:instrText xml:space="preserve"> PAGEREF _Toc244188204 \h </w:instrText>
        </w:r>
        <w:r>
          <w:rPr>
            <w:noProof/>
            <w:webHidden/>
          </w:rPr>
        </w:r>
        <w:r>
          <w:rPr>
            <w:noProof/>
            <w:webHidden/>
          </w:rPr>
          <w:fldChar w:fldCharType="separate"/>
        </w:r>
        <w:r>
          <w:rPr>
            <w:noProof/>
            <w:webHidden/>
          </w:rPr>
          <w:t>10</w:t>
        </w:r>
        <w:r>
          <w:rPr>
            <w:noProof/>
            <w:webHidden/>
          </w:rPr>
          <w:fldChar w:fldCharType="end"/>
        </w:r>
      </w:hyperlink>
    </w:p>
    <w:p w14:paraId="2FECC7DB" w14:textId="0F7BBE37"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05" w:history="1">
        <w:r w:rsidRPr="005A573C">
          <w:rPr>
            <w:rStyle w:val="Hyperlink"/>
            <w:rFonts w:eastAsia="Arial" w:cs="Arial"/>
            <w:noProof/>
          </w:rPr>
          <w:t>1.2 Regulatory and industry context</w:t>
        </w:r>
        <w:r>
          <w:rPr>
            <w:noProof/>
            <w:webHidden/>
          </w:rPr>
          <w:tab/>
        </w:r>
        <w:r>
          <w:rPr>
            <w:noProof/>
            <w:webHidden/>
          </w:rPr>
          <w:fldChar w:fldCharType="begin"/>
        </w:r>
        <w:r>
          <w:rPr>
            <w:noProof/>
            <w:webHidden/>
          </w:rPr>
          <w:instrText xml:space="preserve"> PAGEREF _Toc244188205 \h </w:instrText>
        </w:r>
        <w:r>
          <w:rPr>
            <w:noProof/>
            <w:webHidden/>
          </w:rPr>
        </w:r>
        <w:r>
          <w:rPr>
            <w:noProof/>
            <w:webHidden/>
          </w:rPr>
          <w:fldChar w:fldCharType="separate"/>
        </w:r>
        <w:r>
          <w:rPr>
            <w:noProof/>
            <w:webHidden/>
          </w:rPr>
          <w:t>11</w:t>
        </w:r>
        <w:r>
          <w:rPr>
            <w:noProof/>
            <w:webHidden/>
          </w:rPr>
          <w:fldChar w:fldCharType="end"/>
        </w:r>
      </w:hyperlink>
    </w:p>
    <w:p w14:paraId="29BBDCB3" w14:textId="518F64F4"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06" w:history="1">
        <w:r w:rsidRPr="005A573C">
          <w:rPr>
            <w:rStyle w:val="Hyperlink"/>
            <w:rFonts w:eastAsia="Arial" w:cs="Arial"/>
            <w:noProof/>
          </w:rPr>
          <w:t>1.3 Research problem</w:t>
        </w:r>
        <w:r>
          <w:rPr>
            <w:noProof/>
            <w:webHidden/>
          </w:rPr>
          <w:tab/>
        </w:r>
        <w:r>
          <w:rPr>
            <w:noProof/>
            <w:webHidden/>
          </w:rPr>
          <w:fldChar w:fldCharType="begin"/>
        </w:r>
        <w:r>
          <w:rPr>
            <w:noProof/>
            <w:webHidden/>
          </w:rPr>
          <w:instrText xml:space="preserve"> PAGEREF _Toc244188206 \h </w:instrText>
        </w:r>
        <w:r>
          <w:rPr>
            <w:noProof/>
            <w:webHidden/>
          </w:rPr>
        </w:r>
        <w:r>
          <w:rPr>
            <w:noProof/>
            <w:webHidden/>
          </w:rPr>
          <w:fldChar w:fldCharType="separate"/>
        </w:r>
        <w:r>
          <w:rPr>
            <w:noProof/>
            <w:webHidden/>
          </w:rPr>
          <w:t>12</w:t>
        </w:r>
        <w:r>
          <w:rPr>
            <w:noProof/>
            <w:webHidden/>
          </w:rPr>
          <w:fldChar w:fldCharType="end"/>
        </w:r>
      </w:hyperlink>
    </w:p>
    <w:p w14:paraId="270E8516" w14:textId="54C24026"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07" w:history="1">
        <w:r w:rsidRPr="005A573C">
          <w:rPr>
            <w:rStyle w:val="Hyperlink"/>
            <w:rFonts w:eastAsia="Arial" w:cs="Arial"/>
            <w:noProof/>
          </w:rPr>
          <w:t>1.4 Problem statement</w:t>
        </w:r>
        <w:r>
          <w:rPr>
            <w:noProof/>
            <w:webHidden/>
          </w:rPr>
          <w:tab/>
        </w:r>
        <w:r>
          <w:rPr>
            <w:noProof/>
            <w:webHidden/>
          </w:rPr>
          <w:fldChar w:fldCharType="begin"/>
        </w:r>
        <w:r>
          <w:rPr>
            <w:noProof/>
            <w:webHidden/>
          </w:rPr>
          <w:instrText xml:space="preserve"> PAGEREF _Toc244188207 \h </w:instrText>
        </w:r>
        <w:r>
          <w:rPr>
            <w:noProof/>
            <w:webHidden/>
          </w:rPr>
        </w:r>
        <w:r>
          <w:rPr>
            <w:noProof/>
            <w:webHidden/>
          </w:rPr>
          <w:fldChar w:fldCharType="separate"/>
        </w:r>
        <w:r>
          <w:rPr>
            <w:noProof/>
            <w:webHidden/>
          </w:rPr>
          <w:t>13</w:t>
        </w:r>
        <w:r>
          <w:rPr>
            <w:noProof/>
            <w:webHidden/>
          </w:rPr>
          <w:fldChar w:fldCharType="end"/>
        </w:r>
      </w:hyperlink>
    </w:p>
    <w:p w14:paraId="73147076" w14:textId="665115BC"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08" w:history="1">
        <w:r w:rsidRPr="005A573C">
          <w:rPr>
            <w:rStyle w:val="Hyperlink"/>
            <w:rFonts w:eastAsia="Arial" w:cs="Arial"/>
            <w:noProof/>
          </w:rPr>
          <w:t>1.5 Research aim, questions and objectives</w:t>
        </w:r>
        <w:r>
          <w:rPr>
            <w:noProof/>
            <w:webHidden/>
          </w:rPr>
          <w:tab/>
        </w:r>
        <w:r>
          <w:rPr>
            <w:noProof/>
            <w:webHidden/>
          </w:rPr>
          <w:fldChar w:fldCharType="begin"/>
        </w:r>
        <w:r>
          <w:rPr>
            <w:noProof/>
            <w:webHidden/>
          </w:rPr>
          <w:instrText xml:space="preserve"> PAGEREF _Toc244188208 \h </w:instrText>
        </w:r>
        <w:r>
          <w:rPr>
            <w:noProof/>
            <w:webHidden/>
          </w:rPr>
        </w:r>
        <w:r>
          <w:rPr>
            <w:noProof/>
            <w:webHidden/>
          </w:rPr>
          <w:fldChar w:fldCharType="separate"/>
        </w:r>
        <w:r>
          <w:rPr>
            <w:noProof/>
            <w:webHidden/>
          </w:rPr>
          <w:t>14</w:t>
        </w:r>
        <w:r>
          <w:rPr>
            <w:noProof/>
            <w:webHidden/>
          </w:rPr>
          <w:fldChar w:fldCharType="end"/>
        </w:r>
      </w:hyperlink>
    </w:p>
    <w:p w14:paraId="722B460A" w14:textId="6E552C62"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09" w:history="1">
        <w:r w:rsidRPr="005A573C">
          <w:rPr>
            <w:rStyle w:val="Hyperlink"/>
            <w:rFonts w:eastAsia="Arial" w:cs="Arial"/>
            <w:noProof/>
          </w:rPr>
          <w:t>1.6 Hypotheses and alignment</w:t>
        </w:r>
        <w:r>
          <w:rPr>
            <w:noProof/>
            <w:webHidden/>
          </w:rPr>
          <w:tab/>
        </w:r>
        <w:r>
          <w:rPr>
            <w:noProof/>
            <w:webHidden/>
          </w:rPr>
          <w:fldChar w:fldCharType="begin"/>
        </w:r>
        <w:r>
          <w:rPr>
            <w:noProof/>
            <w:webHidden/>
          </w:rPr>
          <w:instrText xml:space="preserve"> PAGEREF _Toc244188209 \h </w:instrText>
        </w:r>
        <w:r>
          <w:rPr>
            <w:noProof/>
            <w:webHidden/>
          </w:rPr>
        </w:r>
        <w:r>
          <w:rPr>
            <w:noProof/>
            <w:webHidden/>
          </w:rPr>
          <w:fldChar w:fldCharType="separate"/>
        </w:r>
        <w:r>
          <w:rPr>
            <w:noProof/>
            <w:webHidden/>
          </w:rPr>
          <w:t>14</w:t>
        </w:r>
        <w:r>
          <w:rPr>
            <w:noProof/>
            <w:webHidden/>
          </w:rPr>
          <w:fldChar w:fldCharType="end"/>
        </w:r>
      </w:hyperlink>
    </w:p>
    <w:p w14:paraId="012AF27C" w14:textId="63D82EE1"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0" w:history="1">
        <w:r w:rsidRPr="005A573C">
          <w:rPr>
            <w:rStyle w:val="Hyperlink"/>
            <w:rFonts w:eastAsia="Arial" w:cs="Arial"/>
            <w:noProof/>
          </w:rPr>
          <w:t>1.7 Significance and anticipated contribution</w:t>
        </w:r>
        <w:r>
          <w:rPr>
            <w:noProof/>
            <w:webHidden/>
          </w:rPr>
          <w:tab/>
        </w:r>
        <w:r>
          <w:rPr>
            <w:noProof/>
            <w:webHidden/>
          </w:rPr>
          <w:fldChar w:fldCharType="begin"/>
        </w:r>
        <w:r>
          <w:rPr>
            <w:noProof/>
            <w:webHidden/>
          </w:rPr>
          <w:instrText xml:space="preserve"> PAGEREF _Toc244188210 \h </w:instrText>
        </w:r>
        <w:r>
          <w:rPr>
            <w:noProof/>
            <w:webHidden/>
          </w:rPr>
        </w:r>
        <w:r>
          <w:rPr>
            <w:noProof/>
            <w:webHidden/>
          </w:rPr>
          <w:fldChar w:fldCharType="separate"/>
        </w:r>
        <w:r>
          <w:rPr>
            <w:noProof/>
            <w:webHidden/>
          </w:rPr>
          <w:t>15</w:t>
        </w:r>
        <w:r>
          <w:rPr>
            <w:noProof/>
            <w:webHidden/>
          </w:rPr>
          <w:fldChar w:fldCharType="end"/>
        </w:r>
      </w:hyperlink>
    </w:p>
    <w:p w14:paraId="67A53478" w14:textId="363A1F72"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1" w:history="1">
        <w:r w:rsidRPr="005A573C">
          <w:rPr>
            <w:rStyle w:val="Hyperlink"/>
            <w:rFonts w:eastAsia="Arial" w:cs="Arial"/>
            <w:noProof/>
          </w:rPr>
          <w:t>1.8 Scope and delimitations</w:t>
        </w:r>
        <w:r>
          <w:rPr>
            <w:noProof/>
            <w:webHidden/>
          </w:rPr>
          <w:tab/>
        </w:r>
        <w:r>
          <w:rPr>
            <w:noProof/>
            <w:webHidden/>
          </w:rPr>
          <w:fldChar w:fldCharType="begin"/>
        </w:r>
        <w:r>
          <w:rPr>
            <w:noProof/>
            <w:webHidden/>
          </w:rPr>
          <w:instrText xml:space="preserve"> PAGEREF _Toc244188211 \h </w:instrText>
        </w:r>
        <w:r>
          <w:rPr>
            <w:noProof/>
            <w:webHidden/>
          </w:rPr>
        </w:r>
        <w:r>
          <w:rPr>
            <w:noProof/>
            <w:webHidden/>
          </w:rPr>
          <w:fldChar w:fldCharType="separate"/>
        </w:r>
        <w:r>
          <w:rPr>
            <w:noProof/>
            <w:webHidden/>
          </w:rPr>
          <w:t>15</w:t>
        </w:r>
        <w:r>
          <w:rPr>
            <w:noProof/>
            <w:webHidden/>
          </w:rPr>
          <w:fldChar w:fldCharType="end"/>
        </w:r>
      </w:hyperlink>
    </w:p>
    <w:p w14:paraId="47DACCFD" w14:textId="0326C29A"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2" w:history="1">
        <w:r w:rsidRPr="005A573C">
          <w:rPr>
            <w:rStyle w:val="Hyperlink"/>
            <w:rFonts w:eastAsia="Arial" w:cs="Arial"/>
            <w:noProof/>
          </w:rPr>
          <w:t>1.9 Chapter summary</w:t>
        </w:r>
        <w:r>
          <w:rPr>
            <w:noProof/>
            <w:webHidden/>
          </w:rPr>
          <w:tab/>
        </w:r>
        <w:r>
          <w:rPr>
            <w:noProof/>
            <w:webHidden/>
          </w:rPr>
          <w:fldChar w:fldCharType="begin"/>
        </w:r>
        <w:r>
          <w:rPr>
            <w:noProof/>
            <w:webHidden/>
          </w:rPr>
          <w:instrText xml:space="preserve"> PAGEREF _Toc244188212 \h </w:instrText>
        </w:r>
        <w:r>
          <w:rPr>
            <w:noProof/>
            <w:webHidden/>
          </w:rPr>
        </w:r>
        <w:r>
          <w:rPr>
            <w:noProof/>
            <w:webHidden/>
          </w:rPr>
          <w:fldChar w:fldCharType="separate"/>
        </w:r>
        <w:r>
          <w:rPr>
            <w:noProof/>
            <w:webHidden/>
          </w:rPr>
          <w:t>16</w:t>
        </w:r>
        <w:r>
          <w:rPr>
            <w:noProof/>
            <w:webHidden/>
          </w:rPr>
          <w:fldChar w:fldCharType="end"/>
        </w:r>
      </w:hyperlink>
    </w:p>
    <w:p w14:paraId="2FF6F2B5" w14:textId="19BC3004"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13" w:history="1">
        <w:r w:rsidRPr="005A573C">
          <w:rPr>
            <w:rStyle w:val="Hyperlink"/>
            <w:rFonts w:eastAsia="Arial" w:cs="Arial"/>
            <w:noProof/>
          </w:rPr>
          <w:t>Chapter 2: Literature Review</w:t>
        </w:r>
        <w:r>
          <w:rPr>
            <w:noProof/>
            <w:webHidden/>
          </w:rPr>
          <w:tab/>
        </w:r>
        <w:r>
          <w:rPr>
            <w:noProof/>
            <w:webHidden/>
          </w:rPr>
          <w:fldChar w:fldCharType="begin"/>
        </w:r>
        <w:r>
          <w:rPr>
            <w:noProof/>
            <w:webHidden/>
          </w:rPr>
          <w:instrText xml:space="preserve"> PAGEREF _Toc244188213 \h </w:instrText>
        </w:r>
        <w:r>
          <w:rPr>
            <w:noProof/>
            <w:webHidden/>
          </w:rPr>
        </w:r>
        <w:r>
          <w:rPr>
            <w:noProof/>
            <w:webHidden/>
          </w:rPr>
          <w:fldChar w:fldCharType="separate"/>
        </w:r>
        <w:r>
          <w:rPr>
            <w:noProof/>
            <w:webHidden/>
          </w:rPr>
          <w:t>17</w:t>
        </w:r>
        <w:r>
          <w:rPr>
            <w:noProof/>
            <w:webHidden/>
          </w:rPr>
          <w:fldChar w:fldCharType="end"/>
        </w:r>
      </w:hyperlink>
    </w:p>
    <w:p w14:paraId="2FC9D9B4" w14:textId="60194521"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4" w:history="1">
        <w:r w:rsidRPr="005A573C">
          <w:rPr>
            <w:rStyle w:val="Hyperlink"/>
            <w:rFonts w:eastAsia="Arial" w:cs="Arial"/>
            <w:noProof/>
          </w:rPr>
          <w:t>2.1 Review scope and alignment with the research questions</w:t>
        </w:r>
        <w:r>
          <w:rPr>
            <w:noProof/>
            <w:webHidden/>
          </w:rPr>
          <w:tab/>
        </w:r>
        <w:r>
          <w:rPr>
            <w:noProof/>
            <w:webHidden/>
          </w:rPr>
          <w:fldChar w:fldCharType="begin"/>
        </w:r>
        <w:r>
          <w:rPr>
            <w:noProof/>
            <w:webHidden/>
          </w:rPr>
          <w:instrText xml:space="preserve"> PAGEREF _Toc244188214 \h </w:instrText>
        </w:r>
        <w:r>
          <w:rPr>
            <w:noProof/>
            <w:webHidden/>
          </w:rPr>
        </w:r>
        <w:r>
          <w:rPr>
            <w:noProof/>
            <w:webHidden/>
          </w:rPr>
          <w:fldChar w:fldCharType="separate"/>
        </w:r>
        <w:r>
          <w:rPr>
            <w:noProof/>
            <w:webHidden/>
          </w:rPr>
          <w:t>17</w:t>
        </w:r>
        <w:r>
          <w:rPr>
            <w:noProof/>
            <w:webHidden/>
          </w:rPr>
          <w:fldChar w:fldCharType="end"/>
        </w:r>
      </w:hyperlink>
    </w:p>
    <w:p w14:paraId="6DB1A0F6" w14:textId="2DCF48B2"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5" w:history="1">
        <w:r w:rsidRPr="005A573C">
          <w:rPr>
            <w:rStyle w:val="Hyperlink"/>
            <w:rFonts w:eastAsia="Arial" w:cs="Arial"/>
            <w:noProof/>
          </w:rPr>
          <w:t>2.2 Literature addressing RQ1: comparative model performance</w:t>
        </w:r>
        <w:r>
          <w:rPr>
            <w:noProof/>
            <w:webHidden/>
          </w:rPr>
          <w:tab/>
        </w:r>
        <w:r>
          <w:rPr>
            <w:noProof/>
            <w:webHidden/>
          </w:rPr>
          <w:fldChar w:fldCharType="begin"/>
        </w:r>
        <w:r>
          <w:rPr>
            <w:noProof/>
            <w:webHidden/>
          </w:rPr>
          <w:instrText xml:space="preserve"> PAGEREF _Toc244188215 \h </w:instrText>
        </w:r>
        <w:r>
          <w:rPr>
            <w:noProof/>
            <w:webHidden/>
          </w:rPr>
        </w:r>
        <w:r>
          <w:rPr>
            <w:noProof/>
            <w:webHidden/>
          </w:rPr>
          <w:fldChar w:fldCharType="separate"/>
        </w:r>
        <w:r>
          <w:rPr>
            <w:noProof/>
            <w:webHidden/>
          </w:rPr>
          <w:t>17</w:t>
        </w:r>
        <w:r>
          <w:rPr>
            <w:noProof/>
            <w:webHidden/>
          </w:rPr>
          <w:fldChar w:fldCharType="end"/>
        </w:r>
      </w:hyperlink>
    </w:p>
    <w:p w14:paraId="5278DDA6" w14:textId="0ACF2480"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6" w:history="1">
        <w:r w:rsidRPr="005A573C">
          <w:rPr>
            <w:rStyle w:val="Hyperlink"/>
            <w:rFonts w:eastAsia="Arial" w:cs="Arial"/>
            <w:noProof/>
          </w:rPr>
          <w:t>2.2.1 Conditional performance and the no-universal-best problem</w:t>
        </w:r>
        <w:r>
          <w:rPr>
            <w:noProof/>
            <w:webHidden/>
          </w:rPr>
          <w:tab/>
        </w:r>
        <w:r>
          <w:rPr>
            <w:noProof/>
            <w:webHidden/>
          </w:rPr>
          <w:fldChar w:fldCharType="begin"/>
        </w:r>
        <w:r>
          <w:rPr>
            <w:noProof/>
            <w:webHidden/>
          </w:rPr>
          <w:instrText xml:space="preserve"> PAGEREF _Toc244188216 \h </w:instrText>
        </w:r>
        <w:r>
          <w:rPr>
            <w:noProof/>
            <w:webHidden/>
          </w:rPr>
        </w:r>
        <w:r>
          <w:rPr>
            <w:noProof/>
            <w:webHidden/>
          </w:rPr>
          <w:fldChar w:fldCharType="separate"/>
        </w:r>
        <w:r>
          <w:rPr>
            <w:noProof/>
            <w:webHidden/>
          </w:rPr>
          <w:t>18</w:t>
        </w:r>
        <w:r>
          <w:rPr>
            <w:noProof/>
            <w:webHidden/>
          </w:rPr>
          <w:fldChar w:fldCharType="end"/>
        </w:r>
      </w:hyperlink>
    </w:p>
    <w:p w14:paraId="01DC12E2" w14:textId="786F9D76"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7" w:history="1">
        <w:r w:rsidRPr="005A573C">
          <w:rPr>
            <w:rStyle w:val="Hyperlink"/>
            <w:rFonts w:eastAsia="Arial" w:cs="Arial"/>
            <w:noProof/>
          </w:rPr>
          <w:t>2.2.2 Class imbalance, leakage and metric selection</w:t>
        </w:r>
        <w:r>
          <w:rPr>
            <w:noProof/>
            <w:webHidden/>
          </w:rPr>
          <w:tab/>
        </w:r>
        <w:r>
          <w:rPr>
            <w:noProof/>
            <w:webHidden/>
          </w:rPr>
          <w:fldChar w:fldCharType="begin"/>
        </w:r>
        <w:r>
          <w:rPr>
            <w:noProof/>
            <w:webHidden/>
          </w:rPr>
          <w:instrText xml:space="preserve"> PAGEREF _Toc244188217 \h </w:instrText>
        </w:r>
        <w:r>
          <w:rPr>
            <w:noProof/>
            <w:webHidden/>
          </w:rPr>
        </w:r>
        <w:r>
          <w:rPr>
            <w:noProof/>
            <w:webHidden/>
          </w:rPr>
          <w:fldChar w:fldCharType="separate"/>
        </w:r>
        <w:r>
          <w:rPr>
            <w:noProof/>
            <w:webHidden/>
          </w:rPr>
          <w:t>19</w:t>
        </w:r>
        <w:r>
          <w:rPr>
            <w:noProof/>
            <w:webHidden/>
          </w:rPr>
          <w:fldChar w:fldCharType="end"/>
        </w:r>
      </w:hyperlink>
    </w:p>
    <w:p w14:paraId="72CD18F4" w14:textId="1CB77C7E"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8" w:history="1">
        <w:r w:rsidRPr="005A573C">
          <w:rPr>
            <w:rStyle w:val="Hyperlink"/>
            <w:rFonts w:eastAsia="Arial" w:cs="Arial"/>
            <w:noProof/>
          </w:rPr>
          <w:t>2.3 Literature addressing RQ2: explainability and reliability</w:t>
        </w:r>
        <w:r>
          <w:rPr>
            <w:noProof/>
            <w:webHidden/>
          </w:rPr>
          <w:tab/>
        </w:r>
        <w:r>
          <w:rPr>
            <w:noProof/>
            <w:webHidden/>
          </w:rPr>
          <w:fldChar w:fldCharType="begin"/>
        </w:r>
        <w:r>
          <w:rPr>
            <w:noProof/>
            <w:webHidden/>
          </w:rPr>
          <w:instrText xml:space="preserve"> PAGEREF _Toc244188218 \h </w:instrText>
        </w:r>
        <w:r>
          <w:rPr>
            <w:noProof/>
            <w:webHidden/>
          </w:rPr>
        </w:r>
        <w:r>
          <w:rPr>
            <w:noProof/>
            <w:webHidden/>
          </w:rPr>
          <w:fldChar w:fldCharType="separate"/>
        </w:r>
        <w:r>
          <w:rPr>
            <w:noProof/>
            <w:webHidden/>
          </w:rPr>
          <w:t>20</w:t>
        </w:r>
        <w:r>
          <w:rPr>
            <w:noProof/>
            <w:webHidden/>
          </w:rPr>
          <w:fldChar w:fldCharType="end"/>
        </w:r>
      </w:hyperlink>
    </w:p>
    <w:p w14:paraId="414332F7" w14:textId="2EF04767"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19" w:history="1">
        <w:r w:rsidRPr="005A573C">
          <w:rPr>
            <w:rStyle w:val="Hyperlink"/>
            <w:rFonts w:eastAsia="Arial" w:cs="Arial"/>
            <w:noProof/>
          </w:rPr>
          <w:t>2.3.1 XAI-first evaluation framework</w:t>
        </w:r>
        <w:r>
          <w:rPr>
            <w:noProof/>
            <w:webHidden/>
          </w:rPr>
          <w:tab/>
        </w:r>
        <w:r>
          <w:rPr>
            <w:noProof/>
            <w:webHidden/>
          </w:rPr>
          <w:fldChar w:fldCharType="begin"/>
        </w:r>
        <w:r>
          <w:rPr>
            <w:noProof/>
            <w:webHidden/>
          </w:rPr>
          <w:instrText xml:space="preserve"> PAGEREF _Toc244188219 \h </w:instrText>
        </w:r>
        <w:r>
          <w:rPr>
            <w:noProof/>
            <w:webHidden/>
          </w:rPr>
        </w:r>
        <w:r>
          <w:rPr>
            <w:noProof/>
            <w:webHidden/>
          </w:rPr>
          <w:fldChar w:fldCharType="separate"/>
        </w:r>
        <w:r>
          <w:rPr>
            <w:noProof/>
            <w:webHidden/>
          </w:rPr>
          <w:t>23</w:t>
        </w:r>
        <w:r>
          <w:rPr>
            <w:noProof/>
            <w:webHidden/>
          </w:rPr>
          <w:fldChar w:fldCharType="end"/>
        </w:r>
      </w:hyperlink>
    </w:p>
    <w:p w14:paraId="4A0714E8" w14:textId="5D2F51B4"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0" w:history="1">
        <w:r w:rsidRPr="005A573C">
          <w:rPr>
            <w:rStyle w:val="Hyperlink"/>
            <w:rFonts w:eastAsia="Arial" w:cs="Arial"/>
            <w:noProof/>
          </w:rPr>
          <w:t>2.4 Literature addressing RQ3: South African applicability and governance</w:t>
        </w:r>
        <w:r>
          <w:rPr>
            <w:noProof/>
            <w:webHidden/>
          </w:rPr>
          <w:tab/>
        </w:r>
        <w:r>
          <w:rPr>
            <w:noProof/>
            <w:webHidden/>
          </w:rPr>
          <w:fldChar w:fldCharType="begin"/>
        </w:r>
        <w:r>
          <w:rPr>
            <w:noProof/>
            <w:webHidden/>
          </w:rPr>
          <w:instrText xml:space="preserve"> PAGEREF _Toc244188220 \h </w:instrText>
        </w:r>
        <w:r>
          <w:rPr>
            <w:noProof/>
            <w:webHidden/>
          </w:rPr>
        </w:r>
        <w:r>
          <w:rPr>
            <w:noProof/>
            <w:webHidden/>
          </w:rPr>
          <w:fldChar w:fldCharType="separate"/>
        </w:r>
        <w:r>
          <w:rPr>
            <w:noProof/>
            <w:webHidden/>
          </w:rPr>
          <w:t>23</w:t>
        </w:r>
        <w:r>
          <w:rPr>
            <w:noProof/>
            <w:webHidden/>
          </w:rPr>
          <w:fldChar w:fldCharType="end"/>
        </w:r>
      </w:hyperlink>
    </w:p>
    <w:p w14:paraId="0CB9E6B2" w14:textId="69A4EB2C"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1" w:history="1">
        <w:r w:rsidRPr="005A573C">
          <w:rPr>
            <w:rStyle w:val="Hyperlink"/>
            <w:rFonts w:eastAsia="Arial" w:cs="Arial"/>
            <w:noProof/>
          </w:rPr>
          <w:t>2.5 Critical synthesis and research gap</w:t>
        </w:r>
        <w:r>
          <w:rPr>
            <w:noProof/>
            <w:webHidden/>
          </w:rPr>
          <w:tab/>
        </w:r>
        <w:r>
          <w:rPr>
            <w:noProof/>
            <w:webHidden/>
          </w:rPr>
          <w:fldChar w:fldCharType="begin"/>
        </w:r>
        <w:r>
          <w:rPr>
            <w:noProof/>
            <w:webHidden/>
          </w:rPr>
          <w:instrText xml:space="preserve"> PAGEREF _Toc244188221 \h </w:instrText>
        </w:r>
        <w:r>
          <w:rPr>
            <w:noProof/>
            <w:webHidden/>
          </w:rPr>
        </w:r>
        <w:r>
          <w:rPr>
            <w:noProof/>
            <w:webHidden/>
          </w:rPr>
          <w:fldChar w:fldCharType="separate"/>
        </w:r>
        <w:r>
          <w:rPr>
            <w:noProof/>
            <w:webHidden/>
          </w:rPr>
          <w:t>25</w:t>
        </w:r>
        <w:r>
          <w:rPr>
            <w:noProof/>
            <w:webHidden/>
          </w:rPr>
          <w:fldChar w:fldCharType="end"/>
        </w:r>
      </w:hyperlink>
    </w:p>
    <w:p w14:paraId="52D3E90B" w14:textId="6114513F"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2" w:history="1">
        <w:r w:rsidRPr="005A573C">
          <w:rPr>
            <w:rStyle w:val="Hyperlink"/>
            <w:rFonts w:eastAsia="Arial" w:cs="Arial"/>
            <w:noProof/>
          </w:rPr>
          <w:t>2.6 Chapter summary</w:t>
        </w:r>
        <w:r>
          <w:rPr>
            <w:noProof/>
            <w:webHidden/>
          </w:rPr>
          <w:tab/>
        </w:r>
        <w:r>
          <w:rPr>
            <w:noProof/>
            <w:webHidden/>
          </w:rPr>
          <w:fldChar w:fldCharType="begin"/>
        </w:r>
        <w:r>
          <w:rPr>
            <w:noProof/>
            <w:webHidden/>
          </w:rPr>
          <w:instrText xml:space="preserve"> PAGEREF _Toc244188222 \h </w:instrText>
        </w:r>
        <w:r>
          <w:rPr>
            <w:noProof/>
            <w:webHidden/>
          </w:rPr>
        </w:r>
        <w:r>
          <w:rPr>
            <w:noProof/>
            <w:webHidden/>
          </w:rPr>
          <w:fldChar w:fldCharType="separate"/>
        </w:r>
        <w:r>
          <w:rPr>
            <w:noProof/>
            <w:webHidden/>
          </w:rPr>
          <w:t>26</w:t>
        </w:r>
        <w:r>
          <w:rPr>
            <w:noProof/>
            <w:webHidden/>
          </w:rPr>
          <w:fldChar w:fldCharType="end"/>
        </w:r>
      </w:hyperlink>
    </w:p>
    <w:p w14:paraId="26A0358C" w14:textId="6E1CF144"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23" w:history="1">
        <w:r w:rsidRPr="005A573C">
          <w:rPr>
            <w:rStyle w:val="Hyperlink"/>
            <w:rFonts w:eastAsia="Arial" w:cs="Arial"/>
            <w:noProof/>
          </w:rPr>
          <w:t>Chapter 3: Research Methodology</w:t>
        </w:r>
        <w:r>
          <w:rPr>
            <w:noProof/>
            <w:webHidden/>
          </w:rPr>
          <w:tab/>
        </w:r>
        <w:r>
          <w:rPr>
            <w:noProof/>
            <w:webHidden/>
          </w:rPr>
          <w:fldChar w:fldCharType="begin"/>
        </w:r>
        <w:r>
          <w:rPr>
            <w:noProof/>
            <w:webHidden/>
          </w:rPr>
          <w:instrText xml:space="preserve"> PAGEREF _Toc244188223 \h </w:instrText>
        </w:r>
        <w:r>
          <w:rPr>
            <w:noProof/>
            <w:webHidden/>
          </w:rPr>
        </w:r>
        <w:r>
          <w:rPr>
            <w:noProof/>
            <w:webHidden/>
          </w:rPr>
          <w:fldChar w:fldCharType="separate"/>
        </w:r>
        <w:r>
          <w:rPr>
            <w:noProof/>
            <w:webHidden/>
          </w:rPr>
          <w:t>27</w:t>
        </w:r>
        <w:r>
          <w:rPr>
            <w:noProof/>
            <w:webHidden/>
          </w:rPr>
          <w:fldChar w:fldCharType="end"/>
        </w:r>
      </w:hyperlink>
    </w:p>
    <w:p w14:paraId="6B32FA92" w14:textId="0567FEC6"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4" w:history="1">
        <w:r w:rsidRPr="005A573C">
          <w:rPr>
            <w:rStyle w:val="Hyperlink"/>
            <w:rFonts w:eastAsia="Arial" w:cs="Arial"/>
            <w:noProof/>
          </w:rPr>
          <w:t>3.1 Research philosophy, approach and design</w:t>
        </w:r>
        <w:r>
          <w:rPr>
            <w:noProof/>
            <w:webHidden/>
          </w:rPr>
          <w:tab/>
        </w:r>
        <w:r>
          <w:rPr>
            <w:noProof/>
            <w:webHidden/>
          </w:rPr>
          <w:fldChar w:fldCharType="begin"/>
        </w:r>
        <w:r>
          <w:rPr>
            <w:noProof/>
            <w:webHidden/>
          </w:rPr>
          <w:instrText xml:space="preserve"> PAGEREF _Toc244188224 \h </w:instrText>
        </w:r>
        <w:r>
          <w:rPr>
            <w:noProof/>
            <w:webHidden/>
          </w:rPr>
        </w:r>
        <w:r>
          <w:rPr>
            <w:noProof/>
            <w:webHidden/>
          </w:rPr>
          <w:fldChar w:fldCharType="separate"/>
        </w:r>
        <w:r>
          <w:rPr>
            <w:noProof/>
            <w:webHidden/>
          </w:rPr>
          <w:t>27</w:t>
        </w:r>
        <w:r>
          <w:rPr>
            <w:noProof/>
            <w:webHidden/>
          </w:rPr>
          <w:fldChar w:fldCharType="end"/>
        </w:r>
      </w:hyperlink>
    </w:p>
    <w:p w14:paraId="1DC3B484" w14:textId="4A853B6D"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5" w:history="1">
        <w:r w:rsidRPr="005A573C">
          <w:rPr>
            <w:rStyle w:val="Hyperlink"/>
            <w:rFonts w:eastAsia="Arial" w:cs="Arial"/>
            <w:noProof/>
          </w:rPr>
          <w:t>3.2 Dataset and provenance</w:t>
        </w:r>
        <w:r>
          <w:rPr>
            <w:noProof/>
            <w:webHidden/>
          </w:rPr>
          <w:tab/>
        </w:r>
        <w:r>
          <w:rPr>
            <w:noProof/>
            <w:webHidden/>
          </w:rPr>
          <w:fldChar w:fldCharType="begin"/>
        </w:r>
        <w:r>
          <w:rPr>
            <w:noProof/>
            <w:webHidden/>
          </w:rPr>
          <w:instrText xml:space="preserve"> PAGEREF _Toc244188225 \h </w:instrText>
        </w:r>
        <w:r>
          <w:rPr>
            <w:noProof/>
            <w:webHidden/>
          </w:rPr>
        </w:r>
        <w:r>
          <w:rPr>
            <w:noProof/>
            <w:webHidden/>
          </w:rPr>
          <w:fldChar w:fldCharType="separate"/>
        </w:r>
        <w:r>
          <w:rPr>
            <w:noProof/>
            <w:webHidden/>
          </w:rPr>
          <w:t>27</w:t>
        </w:r>
        <w:r>
          <w:rPr>
            <w:noProof/>
            <w:webHidden/>
          </w:rPr>
          <w:fldChar w:fldCharType="end"/>
        </w:r>
      </w:hyperlink>
    </w:p>
    <w:p w14:paraId="77F100FE" w14:textId="307F8D6F"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6" w:history="1">
        <w:r w:rsidRPr="005A573C">
          <w:rPr>
            <w:rStyle w:val="Hyperlink"/>
            <w:rFonts w:eastAsia="Arial" w:cs="Arial"/>
            <w:noProof/>
          </w:rPr>
          <w:t>3.3 Variables and operational definitions</w:t>
        </w:r>
        <w:r>
          <w:rPr>
            <w:noProof/>
            <w:webHidden/>
          </w:rPr>
          <w:tab/>
        </w:r>
        <w:r>
          <w:rPr>
            <w:noProof/>
            <w:webHidden/>
          </w:rPr>
          <w:fldChar w:fldCharType="begin"/>
        </w:r>
        <w:r>
          <w:rPr>
            <w:noProof/>
            <w:webHidden/>
          </w:rPr>
          <w:instrText xml:space="preserve"> PAGEREF _Toc244188226 \h </w:instrText>
        </w:r>
        <w:r>
          <w:rPr>
            <w:noProof/>
            <w:webHidden/>
          </w:rPr>
        </w:r>
        <w:r>
          <w:rPr>
            <w:noProof/>
            <w:webHidden/>
          </w:rPr>
          <w:fldChar w:fldCharType="separate"/>
        </w:r>
        <w:r>
          <w:rPr>
            <w:noProof/>
            <w:webHidden/>
          </w:rPr>
          <w:t>28</w:t>
        </w:r>
        <w:r>
          <w:rPr>
            <w:noProof/>
            <w:webHidden/>
          </w:rPr>
          <w:fldChar w:fldCharType="end"/>
        </w:r>
      </w:hyperlink>
    </w:p>
    <w:p w14:paraId="73C016B1" w14:textId="44C97C73"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7" w:history="1">
        <w:r w:rsidRPr="005A573C">
          <w:rPr>
            <w:rStyle w:val="Hyperlink"/>
            <w:rFonts w:eastAsia="Arial" w:cs="Arial"/>
            <w:noProof/>
          </w:rPr>
          <w:t>3.4 Data preparation and leakage control</w:t>
        </w:r>
        <w:r>
          <w:rPr>
            <w:noProof/>
            <w:webHidden/>
          </w:rPr>
          <w:tab/>
        </w:r>
        <w:r>
          <w:rPr>
            <w:noProof/>
            <w:webHidden/>
          </w:rPr>
          <w:fldChar w:fldCharType="begin"/>
        </w:r>
        <w:r>
          <w:rPr>
            <w:noProof/>
            <w:webHidden/>
          </w:rPr>
          <w:instrText xml:space="preserve"> PAGEREF _Toc244188227 \h </w:instrText>
        </w:r>
        <w:r>
          <w:rPr>
            <w:noProof/>
            <w:webHidden/>
          </w:rPr>
        </w:r>
        <w:r>
          <w:rPr>
            <w:noProof/>
            <w:webHidden/>
          </w:rPr>
          <w:fldChar w:fldCharType="separate"/>
        </w:r>
        <w:r>
          <w:rPr>
            <w:noProof/>
            <w:webHidden/>
          </w:rPr>
          <w:t>28</w:t>
        </w:r>
        <w:r>
          <w:rPr>
            <w:noProof/>
            <w:webHidden/>
          </w:rPr>
          <w:fldChar w:fldCharType="end"/>
        </w:r>
      </w:hyperlink>
    </w:p>
    <w:p w14:paraId="2B337F69" w14:textId="34E2A592"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8" w:history="1">
        <w:r w:rsidRPr="005A573C">
          <w:rPr>
            <w:rStyle w:val="Hyperlink"/>
            <w:rFonts w:eastAsia="Arial" w:cs="Arial"/>
            <w:noProof/>
          </w:rPr>
          <w:t>3.5 Model development</w:t>
        </w:r>
        <w:r>
          <w:rPr>
            <w:noProof/>
            <w:webHidden/>
          </w:rPr>
          <w:tab/>
        </w:r>
        <w:r>
          <w:rPr>
            <w:noProof/>
            <w:webHidden/>
          </w:rPr>
          <w:fldChar w:fldCharType="begin"/>
        </w:r>
        <w:r>
          <w:rPr>
            <w:noProof/>
            <w:webHidden/>
          </w:rPr>
          <w:instrText xml:space="preserve"> PAGEREF _Toc244188228 \h </w:instrText>
        </w:r>
        <w:r>
          <w:rPr>
            <w:noProof/>
            <w:webHidden/>
          </w:rPr>
        </w:r>
        <w:r>
          <w:rPr>
            <w:noProof/>
            <w:webHidden/>
          </w:rPr>
          <w:fldChar w:fldCharType="separate"/>
        </w:r>
        <w:r>
          <w:rPr>
            <w:noProof/>
            <w:webHidden/>
          </w:rPr>
          <w:t>29</w:t>
        </w:r>
        <w:r>
          <w:rPr>
            <w:noProof/>
            <w:webHidden/>
          </w:rPr>
          <w:fldChar w:fldCharType="end"/>
        </w:r>
      </w:hyperlink>
    </w:p>
    <w:p w14:paraId="71ABA367" w14:textId="0F21E279"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29" w:history="1">
        <w:r w:rsidRPr="005A573C">
          <w:rPr>
            <w:rStyle w:val="Hyperlink"/>
            <w:rFonts w:eastAsia="Arial" w:cs="Arial"/>
            <w:noProof/>
          </w:rPr>
          <w:t>3.6 Evaluation and hypothesis testing</w:t>
        </w:r>
        <w:r>
          <w:rPr>
            <w:noProof/>
            <w:webHidden/>
          </w:rPr>
          <w:tab/>
        </w:r>
        <w:r>
          <w:rPr>
            <w:noProof/>
            <w:webHidden/>
          </w:rPr>
          <w:fldChar w:fldCharType="begin"/>
        </w:r>
        <w:r>
          <w:rPr>
            <w:noProof/>
            <w:webHidden/>
          </w:rPr>
          <w:instrText xml:space="preserve"> PAGEREF _Toc244188229 \h </w:instrText>
        </w:r>
        <w:r>
          <w:rPr>
            <w:noProof/>
            <w:webHidden/>
          </w:rPr>
        </w:r>
        <w:r>
          <w:rPr>
            <w:noProof/>
            <w:webHidden/>
          </w:rPr>
          <w:fldChar w:fldCharType="separate"/>
        </w:r>
        <w:r>
          <w:rPr>
            <w:noProof/>
            <w:webHidden/>
          </w:rPr>
          <w:t>30</w:t>
        </w:r>
        <w:r>
          <w:rPr>
            <w:noProof/>
            <w:webHidden/>
          </w:rPr>
          <w:fldChar w:fldCharType="end"/>
        </w:r>
      </w:hyperlink>
    </w:p>
    <w:p w14:paraId="60A89277" w14:textId="0CA28428"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0" w:history="1">
        <w:r w:rsidRPr="005A573C">
          <w:rPr>
            <w:rStyle w:val="Hyperlink"/>
            <w:rFonts w:eastAsia="Arial" w:cs="Arial"/>
            <w:noProof/>
          </w:rPr>
          <w:t>3.7 Explainability protocol</w:t>
        </w:r>
        <w:r>
          <w:rPr>
            <w:noProof/>
            <w:webHidden/>
          </w:rPr>
          <w:tab/>
        </w:r>
        <w:r>
          <w:rPr>
            <w:noProof/>
            <w:webHidden/>
          </w:rPr>
          <w:fldChar w:fldCharType="begin"/>
        </w:r>
        <w:r>
          <w:rPr>
            <w:noProof/>
            <w:webHidden/>
          </w:rPr>
          <w:instrText xml:space="preserve"> PAGEREF _Toc244188230 \h </w:instrText>
        </w:r>
        <w:r>
          <w:rPr>
            <w:noProof/>
            <w:webHidden/>
          </w:rPr>
        </w:r>
        <w:r>
          <w:rPr>
            <w:noProof/>
            <w:webHidden/>
          </w:rPr>
          <w:fldChar w:fldCharType="separate"/>
        </w:r>
        <w:r>
          <w:rPr>
            <w:noProof/>
            <w:webHidden/>
          </w:rPr>
          <w:t>31</w:t>
        </w:r>
        <w:r>
          <w:rPr>
            <w:noProof/>
            <w:webHidden/>
          </w:rPr>
          <w:fldChar w:fldCharType="end"/>
        </w:r>
      </w:hyperlink>
    </w:p>
    <w:p w14:paraId="3E07B65F" w14:textId="1829853B"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1" w:history="1">
        <w:r w:rsidRPr="005A573C">
          <w:rPr>
            <w:rStyle w:val="Hyperlink"/>
            <w:rFonts w:eastAsia="Arial" w:cs="Arial"/>
            <w:noProof/>
          </w:rPr>
          <w:t>3.8 XAI-first model-selection decision</w:t>
        </w:r>
        <w:r>
          <w:rPr>
            <w:noProof/>
            <w:webHidden/>
          </w:rPr>
          <w:tab/>
        </w:r>
        <w:r>
          <w:rPr>
            <w:noProof/>
            <w:webHidden/>
          </w:rPr>
          <w:fldChar w:fldCharType="begin"/>
        </w:r>
        <w:r>
          <w:rPr>
            <w:noProof/>
            <w:webHidden/>
          </w:rPr>
          <w:instrText xml:space="preserve"> PAGEREF _Toc244188231 \h </w:instrText>
        </w:r>
        <w:r>
          <w:rPr>
            <w:noProof/>
            <w:webHidden/>
          </w:rPr>
        </w:r>
        <w:r>
          <w:rPr>
            <w:noProof/>
            <w:webHidden/>
          </w:rPr>
          <w:fldChar w:fldCharType="separate"/>
        </w:r>
        <w:r>
          <w:rPr>
            <w:noProof/>
            <w:webHidden/>
          </w:rPr>
          <w:t>31</w:t>
        </w:r>
        <w:r>
          <w:rPr>
            <w:noProof/>
            <w:webHidden/>
          </w:rPr>
          <w:fldChar w:fldCharType="end"/>
        </w:r>
      </w:hyperlink>
    </w:p>
    <w:p w14:paraId="48EC3DDE" w14:textId="02CFE2B6"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2" w:history="1">
        <w:r w:rsidRPr="005A573C">
          <w:rPr>
            <w:rStyle w:val="Hyperlink"/>
            <w:rFonts w:eastAsia="Arial" w:cs="Arial"/>
            <w:noProof/>
          </w:rPr>
          <w:t>3.9 Reliability, validity and reproducibility</w:t>
        </w:r>
        <w:r>
          <w:rPr>
            <w:noProof/>
            <w:webHidden/>
          </w:rPr>
          <w:tab/>
        </w:r>
        <w:r>
          <w:rPr>
            <w:noProof/>
            <w:webHidden/>
          </w:rPr>
          <w:fldChar w:fldCharType="begin"/>
        </w:r>
        <w:r>
          <w:rPr>
            <w:noProof/>
            <w:webHidden/>
          </w:rPr>
          <w:instrText xml:space="preserve"> PAGEREF _Toc244188232 \h </w:instrText>
        </w:r>
        <w:r>
          <w:rPr>
            <w:noProof/>
            <w:webHidden/>
          </w:rPr>
        </w:r>
        <w:r>
          <w:rPr>
            <w:noProof/>
            <w:webHidden/>
          </w:rPr>
          <w:fldChar w:fldCharType="separate"/>
        </w:r>
        <w:r>
          <w:rPr>
            <w:noProof/>
            <w:webHidden/>
          </w:rPr>
          <w:t>32</w:t>
        </w:r>
        <w:r>
          <w:rPr>
            <w:noProof/>
            <w:webHidden/>
          </w:rPr>
          <w:fldChar w:fldCharType="end"/>
        </w:r>
      </w:hyperlink>
    </w:p>
    <w:p w14:paraId="2A0E41F2" w14:textId="362CEED3"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3" w:history="1">
        <w:r w:rsidRPr="005A573C">
          <w:rPr>
            <w:rStyle w:val="Hyperlink"/>
            <w:rFonts w:eastAsia="Arial" w:cs="Arial"/>
            <w:noProof/>
          </w:rPr>
          <w:t>3.10 Ethical and legal considerations</w:t>
        </w:r>
        <w:r>
          <w:rPr>
            <w:noProof/>
            <w:webHidden/>
          </w:rPr>
          <w:tab/>
        </w:r>
        <w:r>
          <w:rPr>
            <w:noProof/>
            <w:webHidden/>
          </w:rPr>
          <w:fldChar w:fldCharType="begin"/>
        </w:r>
        <w:r>
          <w:rPr>
            <w:noProof/>
            <w:webHidden/>
          </w:rPr>
          <w:instrText xml:space="preserve"> PAGEREF _Toc244188233 \h </w:instrText>
        </w:r>
        <w:r>
          <w:rPr>
            <w:noProof/>
            <w:webHidden/>
          </w:rPr>
        </w:r>
        <w:r>
          <w:rPr>
            <w:noProof/>
            <w:webHidden/>
          </w:rPr>
          <w:fldChar w:fldCharType="separate"/>
        </w:r>
        <w:r>
          <w:rPr>
            <w:noProof/>
            <w:webHidden/>
          </w:rPr>
          <w:t>32</w:t>
        </w:r>
        <w:r>
          <w:rPr>
            <w:noProof/>
            <w:webHidden/>
          </w:rPr>
          <w:fldChar w:fldCharType="end"/>
        </w:r>
      </w:hyperlink>
    </w:p>
    <w:p w14:paraId="0004A1A8" w14:textId="57B01080"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4" w:history="1">
        <w:r w:rsidRPr="005A573C">
          <w:rPr>
            <w:rStyle w:val="Hyperlink"/>
            <w:rFonts w:eastAsia="Arial" w:cs="Arial"/>
            <w:noProof/>
          </w:rPr>
          <w:t>3.11 Data management</w:t>
        </w:r>
        <w:r>
          <w:rPr>
            <w:noProof/>
            <w:webHidden/>
          </w:rPr>
          <w:tab/>
        </w:r>
        <w:r>
          <w:rPr>
            <w:noProof/>
            <w:webHidden/>
          </w:rPr>
          <w:fldChar w:fldCharType="begin"/>
        </w:r>
        <w:r>
          <w:rPr>
            <w:noProof/>
            <w:webHidden/>
          </w:rPr>
          <w:instrText xml:space="preserve"> PAGEREF _Toc244188234 \h </w:instrText>
        </w:r>
        <w:r>
          <w:rPr>
            <w:noProof/>
            <w:webHidden/>
          </w:rPr>
        </w:r>
        <w:r>
          <w:rPr>
            <w:noProof/>
            <w:webHidden/>
          </w:rPr>
          <w:fldChar w:fldCharType="separate"/>
        </w:r>
        <w:r>
          <w:rPr>
            <w:noProof/>
            <w:webHidden/>
          </w:rPr>
          <w:t>33</w:t>
        </w:r>
        <w:r>
          <w:rPr>
            <w:noProof/>
            <w:webHidden/>
          </w:rPr>
          <w:fldChar w:fldCharType="end"/>
        </w:r>
      </w:hyperlink>
    </w:p>
    <w:p w14:paraId="4CBA5B1C" w14:textId="7E71B6D2"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5" w:history="1">
        <w:r w:rsidRPr="005A573C">
          <w:rPr>
            <w:rStyle w:val="Hyperlink"/>
            <w:rFonts w:eastAsia="Arial" w:cs="Arial"/>
            <w:noProof/>
          </w:rPr>
          <w:t>3.12 Limitations and mitigation</w:t>
        </w:r>
        <w:r>
          <w:rPr>
            <w:noProof/>
            <w:webHidden/>
          </w:rPr>
          <w:tab/>
        </w:r>
        <w:r>
          <w:rPr>
            <w:noProof/>
            <w:webHidden/>
          </w:rPr>
          <w:fldChar w:fldCharType="begin"/>
        </w:r>
        <w:r>
          <w:rPr>
            <w:noProof/>
            <w:webHidden/>
          </w:rPr>
          <w:instrText xml:space="preserve"> PAGEREF _Toc244188235 \h </w:instrText>
        </w:r>
        <w:r>
          <w:rPr>
            <w:noProof/>
            <w:webHidden/>
          </w:rPr>
        </w:r>
        <w:r>
          <w:rPr>
            <w:noProof/>
            <w:webHidden/>
          </w:rPr>
          <w:fldChar w:fldCharType="separate"/>
        </w:r>
        <w:r>
          <w:rPr>
            <w:noProof/>
            <w:webHidden/>
          </w:rPr>
          <w:t>33</w:t>
        </w:r>
        <w:r>
          <w:rPr>
            <w:noProof/>
            <w:webHidden/>
          </w:rPr>
          <w:fldChar w:fldCharType="end"/>
        </w:r>
      </w:hyperlink>
    </w:p>
    <w:p w14:paraId="24461A0A" w14:textId="1AC859FC"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6" w:history="1">
        <w:r w:rsidRPr="005A573C">
          <w:rPr>
            <w:rStyle w:val="Hyperlink"/>
            <w:rFonts w:eastAsia="Arial" w:cs="Arial"/>
            <w:noProof/>
          </w:rPr>
          <w:t>3.13 Analysis outputs</w:t>
        </w:r>
        <w:r>
          <w:rPr>
            <w:noProof/>
            <w:webHidden/>
          </w:rPr>
          <w:tab/>
        </w:r>
        <w:r>
          <w:rPr>
            <w:noProof/>
            <w:webHidden/>
          </w:rPr>
          <w:fldChar w:fldCharType="begin"/>
        </w:r>
        <w:r>
          <w:rPr>
            <w:noProof/>
            <w:webHidden/>
          </w:rPr>
          <w:instrText xml:space="preserve"> PAGEREF _Toc244188236 \h </w:instrText>
        </w:r>
        <w:r>
          <w:rPr>
            <w:noProof/>
            <w:webHidden/>
          </w:rPr>
        </w:r>
        <w:r>
          <w:rPr>
            <w:noProof/>
            <w:webHidden/>
          </w:rPr>
          <w:fldChar w:fldCharType="separate"/>
        </w:r>
        <w:r>
          <w:rPr>
            <w:noProof/>
            <w:webHidden/>
          </w:rPr>
          <w:t>34</w:t>
        </w:r>
        <w:r>
          <w:rPr>
            <w:noProof/>
            <w:webHidden/>
          </w:rPr>
          <w:fldChar w:fldCharType="end"/>
        </w:r>
      </w:hyperlink>
    </w:p>
    <w:p w14:paraId="3061C34E" w14:textId="55A1EABA"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7" w:history="1">
        <w:r w:rsidRPr="005A573C">
          <w:rPr>
            <w:rStyle w:val="Hyperlink"/>
            <w:rFonts w:eastAsia="Arial" w:cs="Arial"/>
            <w:noProof/>
          </w:rPr>
          <w:t>3.14 Chapter summary</w:t>
        </w:r>
        <w:r>
          <w:rPr>
            <w:noProof/>
            <w:webHidden/>
          </w:rPr>
          <w:tab/>
        </w:r>
        <w:r>
          <w:rPr>
            <w:noProof/>
            <w:webHidden/>
          </w:rPr>
          <w:fldChar w:fldCharType="begin"/>
        </w:r>
        <w:r>
          <w:rPr>
            <w:noProof/>
            <w:webHidden/>
          </w:rPr>
          <w:instrText xml:space="preserve"> PAGEREF _Toc244188237 \h </w:instrText>
        </w:r>
        <w:r>
          <w:rPr>
            <w:noProof/>
            <w:webHidden/>
          </w:rPr>
        </w:r>
        <w:r>
          <w:rPr>
            <w:noProof/>
            <w:webHidden/>
          </w:rPr>
          <w:fldChar w:fldCharType="separate"/>
        </w:r>
        <w:r>
          <w:rPr>
            <w:noProof/>
            <w:webHidden/>
          </w:rPr>
          <w:t>34</w:t>
        </w:r>
        <w:r>
          <w:rPr>
            <w:noProof/>
            <w:webHidden/>
          </w:rPr>
          <w:fldChar w:fldCharType="end"/>
        </w:r>
      </w:hyperlink>
    </w:p>
    <w:p w14:paraId="318E60BA" w14:textId="5F438832"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38" w:history="1">
        <w:r w:rsidRPr="005A573C">
          <w:rPr>
            <w:rStyle w:val="Hyperlink"/>
            <w:rFonts w:eastAsia="Arial" w:cs="Arial"/>
            <w:noProof/>
          </w:rPr>
          <w:t>Chapter 4 Results and Discussion</w:t>
        </w:r>
        <w:r>
          <w:rPr>
            <w:noProof/>
            <w:webHidden/>
          </w:rPr>
          <w:tab/>
        </w:r>
        <w:r>
          <w:rPr>
            <w:noProof/>
            <w:webHidden/>
          </w:rPr>
          <w:fldChar w:fldCharType="begin"/>
        </w:r>
        <w:r>
          <w:rPr>
            <w:noProof/>
            <w:webHidden/>
          </w:rPr>
          <w:instrText xml:space="preserve"> PAGEREF _Toc244188238 \h </w:instrText>
        </w:r>
        <w:r>
          <w:rPr>
            <w:noProof/>
            <w:webHidden/>
          </w:rPr>
        </w:r>
        <w:r>
          <w:rPr>
            <w:noProof/>
            <w:webHidden/>
          </w:rPr>
          <w:fldChar w:fldCharType="separate"/>
        </w:r>
        <w:r>
          <w:rPr>
            <w:noProof/>
            <w:webHidden/>
          </w:rPr>
          <w:t>35</w:t>
        </w:r>
        <w:r>
          <w:rPr>
            <w:noProof/>
            <w:webHidden/>
          </w:rPr>
          <w:fldChar w:fldCharType="end"/>
        </w:r>
      </w:hyperlink>
    </w:p>
    <w:p w14:paraId="3E218DCC" w14:textId="18785ACF"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39" w:history="1">
        <w:r w:rsidRPr="005A573C">
          <w:rPr>
            <w:rStyle w:val="Hyperlink"/>
            <w:rFonts w:eastAsia="Arial" w:cs="Arial"/>
            <w:noProof/>
          </w:rPr>
          <w:t>4.1 Analysis process and reproducibility</w:t>
        </w:r>
        <w:r>
          <w:rPr>
            <w:noProof/>
            <w:webHidden/>
          </w:rPr>
          <w:tab/>
        </w:r>
        <w:r>
          <w:rPr>
            <w:noProof/>
            <w:webHidden/>
          </w:rPr>
          <w:fldChar w:fldCharType="begin"/>
        </w:r>
        <w:r>
          <w:rPr>
            <w:noProof/>
            <w:webHidden/>
          </w:rPr>
          <w:instrText xml:space="preserve"> PAGEREF _Toc244188239 \h </w:instrText>
        </w:r>
        <w:r>
          <w:rPr>
            <w:noProof/>
            <w:webHidden/>
          </w:rPr>
        </w:r>
        <w:r>
          <w:rPr>
            <w:noProof/>
            <w:webHidden/>
          </w:rPr>
          <w:fldChar w:fldCharType="separate"/>
        </w:r>
        <w:r>
          <w:rPr>
            <w:noProof/>
            <w:webHidden/>
          </w:rPr>
          <w:t>35</w:t>
        </w:r>
        <w:r>
          <w:rPr>
            <w:noProof/>
            <w:webHidden/>
          </w:rPr>
          <w:fldChar w:fldCharType="end"/>
        </w:r>
      </w:hyperlink>
    </w:p>
    <w:p w14:paraId="284996DD" w14:textId="325F9172"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40" w:history="1">
        <w:r w:rsidRPr="005A573C">
          <w:rPr>
            <w:rStyle w:val="Hyperlink"/>
            <w:rFonts w:eastAsia="Arial" w:cs="Arial"/>
            <w:noProof/>
          </w:rPr>
          <w:t>4.2 Results for Research Question 1</w:t>
        </w:r>
        <w:r>
          <w:rPr>
            <w:noProof/>
            <w:webHidden/>
          </w:rPr>
          <w:tab/>
        </w:r>
        <w:r>
          <w:rPr>
            <w:noProof/>
            <w:webHidden/>
          </w:rPr>
          <w:fldChar w:fldCharType="begin"/>
        </w:r>
        <w:r>
          <w:rPr>
            <w:noProof/>
            <w:webHidden/>
          </w:rPr>
          <w:instrText xml:space="preserve"> PAGEREF _Toc244188240 \h </w:instrText>
        </w:r>
        <w:r>
          <w:rPr>
            <w:noProof/>
            <w:webHidden/>
          </w:rPr>
        </w:r>
        <w:r>
          <w:rPr>
            <w:noProof/>
            <w:webHidden/>
          </w:rPr>
          <w:fldChar w:fldCharType="separate"/>
        </w:r>
        <w:r>
          <w:rPr>
            <w:noProof/>
            <w:webHidden/>
          </w:rPr>
          <w:t>35</w:t>
        </w:r>
        <w:r>
          <w:rPr>
            <w:noProof/>
            <w:webHidden/>
          </w:rPr>
          <w:fldChar w:fldCharType="end"/>
        </w:r>
      </w:hyperlink>
    </w:p>
    <w:p w14:paraId="2A2D6844" w14:textId="2FDF82CA"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41" w:history="1">
        <w:r w:rsidRPr="005A573C">
          <w:rPr>
            <w:rStyle w:val="Hyperlink"/>
            <w:rFonts w:eastAsia="Arial" w:cs="Arial"/>
            <w:noProof/>
          </w:rPr>
          <w:t>4.2.1 Dataset distribution and resampling</w:t>
        </w:r>
        <w:r>
          <w:rPr>
            <w:noProof/>
            <w:webHidden/>
          </w:rPr>
          <w:tab/>
        </w:r>
        <w:r>
          <w:rPr>
            <w:noProof/>
            <w:webHidden/>
          </w:rPr>
          <w:fldChar w:fldCharType="begin"/>
        </w:r>
        <w:r>
          <w:rPr>
            <w:noProof/>
            <w:webHidden/>
          </w:rPr>
          <w:instrText xml:space="preserve"> PAGEREF _Toc244188241 \h </w:instrText>
        </w:r>
        <w:r>
          <w:rPr>
            <w:noProof/>
            <w:webHidden/>
          </w:rPr>
        </w:r>
        <w:r>
          <w:rPr>
            <w:noProof/>
            <w:webHidden/>
          </w:rPr>
          <w:fldChar w:fldCharType="separate"/>
        </w:r>
        <w:r>
          <w:rPr>
            <w:noProof/>
            <w:webHidden/>
          </w:rPr>
          <w:t>35</w:t>
        </w:r>
        <w:r>
          <w:rPr>
            <w:noProof/>
            <w:webHidden/>
          </w:rPr>
          <w:fldChar w:fldCharType="end"/>
        </w:r>
      </w:hyperlink>
    </w:p>
    <w:p w14:paraId="2B05B339" w14:textId="7352E51B"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42" w:history="1">
        <w:r w:rsidRPr="005A573C">
          <w:rPr>
            <w:rStyle w:val="Hyperlink"/>
            <w:rFonts w:eastAsia="Arial" w:cs="Arial"/>
            <w:noProof/>
          </w:rPr>
          <w:t>4.2.2 Comparative model performance</w:t>
        </w:r>
        <w:r>
          <w:rPr>
            <w:noProof/>
            <w:webHidden/>
          </w:rPr>
          <w:tab/>
        </w:r>
        <w:r>
          <w:rPr>
            <w:noProof/>
            <w:webHidden/>
          </w:rPr>
          <w:fldChar w:fldCharType="begin"/>
        </w:r>
        <w:r>
          <w:rPr>
            <w:noProof/>
            <w:webHidden/>
          </w:rPr>
          <w:instrText xml:space="preserve"> PAGEREF _Toc244188242 \h </w:instrText>
        </w:r>
        <w:r>
          <w:rPr>
            <w:noProof/>
            <w:webHidden/>
          </w:rPr>
        </w:r>
        <w:r>
          <w:rPr>
            <w:noProof/>
            <w:webHidden/>
          </w:rPr>
          <w:fldChar w:fldCharType="separate"/>
        </w:r>
        <w:r>
          <w:rPr>
            <w:noProof/>
            <w:webHidden/>
          </w:rPr>
          <w:t>36</w:t>
        </w:r>
        <w:r>
          <w:rPr>
            <w:noProof/>
            <w:webHidden/>
          </w:rPr>
          <w:fldChar w:fldCharType="end"/>
        </w:r>
      </w:hyperlink>
    </w:p>
    <w:p w14:paraId="14B9663B" w14:textId="11EE30AF"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43" w:history="1">
        <w:r w:rsidRPr="005A573C">
          <w:rPr>
            <w:rStyle w:val="Hyperlink"/>
            <w:rFonts w:eastAsia="Arial" w:cs="Arial"/>
            <w:noProof/>
          </w:rPr>
          <w:t>4.2.3 Confusion-matrix outcomes</w:t>
        </w:r>
        <w:r>
          <w:rPr>
            <w:noProof/>
            <w:webHidden/>
          </w:rPr>
          <w:tab/>
        </w:r>
        <w:r>
          <w:rPr>
            <w:noProof/>
            <w:webHidden/>
          </w:rPr>
          <w:fldChar w:fldCharType="begin"/>
        </w:r>
        <w:r>
          <w:rPr>
            <w:noProof/>
            <w:webHidden/>
          </w:rPr>
          <w:instrText xml:space="preserve"> PAGEREF _Toc244188243 \h </w:instrText>
        </w:r>
        <w:r>
          <w:rPr>
            <w:noProof/>
            <w:webHidden/>
          </w:rPr>
        </w:r>
        <w:r>
          <w:rPr>
            <w:noProof/>
            <w:webHidden/>
          </w:rPr>
          <w:fldChar w:fldCharType="separate"/>
        </w:r>
        <w:r>
          <w:rPr>
            <w:noProof/>
            <w:webHidden/>
          </w:rPr>
          <w:t>37</w:t>
        </w:r>
        <w:r>
          <w:rPr>
            <w:noProof/>
            <w:webHidden/>
          </w:rPr>
          <w:fldChar w:fldCharType="end"/>
        </w:r>
      </w:hyperlink>
    </w:p>
    <w:p w14:paraId="279394B7" w14:textId="7FE54A16"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44" w:history="1">
        <w:r w:rsidRPr="005A573C">
          <w:rPr>
            <w:rStyle w:val="Hyperlink"/>
            <w:rFonts w:eastAsia="Arial" w:cs="Arial"/>
            <w:noProof/>
          </w:rPr>
          <w:t>4.3 Results for Research Question 2</w:t>
        </w:r>
        <w:r>
          <w:rPr>
            <w:noProof/>
            <w:webHidden/>
          </w:rPr>
          <w:tab/>
        </w:r>
        <w:r>
          <w:rPr>
            <w:noProof/>
            <w:webHidden/>
          </w:rPr>
          <w:fldChar w:fldCharType="begin"/>
        </w:r>
        <w:r>
          <w:rPr>
            <w:noProof/>
            <w:webHidden/>
          </w:rPr>
          <w:instrText xml:space="preserve"> PAGEREF _Toc244188244 \h </w:instrText>
        </w:r>
        <w:r>
          <w:rPr>
            <w:noProof/>
            <w:webHidden/>
          </w:rPr>
        </w:r>
        <w:r>
          <w:rPr>
            <w:noProof/>
            <w:webHidden/>
          </w:rPr>
          <w:fldChar w:fldCharType="separate"/>
        </w:r>
        <w:r>
          <w:rPr>
            <w:noProof/>
            <w:webHidden/>
          </w:rPr>
          <w:t>38</w:t>
        </w:r>
        <w:r>
          <w:rPr>
            <w:noProof/>
            <w:webHidden/>
          </w:rPr>
          <w:fldChar w:fldCharType="end"/>
        </w:r>
      </w:hyperlink>
    </w:p>
    <w:p w14:paraId="63BCFB8F" w14:textId="42029C28"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45" w:history="1">
        <w:r w:rsidRPr="005A573C">
          <w:rPr>
            <w:rStyle w:val="Hyperlink"/>
            <w:rFonts w:eastAsia="Arial" w:cs="Arial"/>
            <w:noProof/>
          </w:rPr>
          <w:t>4.3.1 Global SHAP feature importance</w:t>
        </w:r>
        <w:r>
          <w:rPr>
            <w:noProof/>
            <w:webHidden/>
          </w:rPr>
          <w:tab/>
        </w:r>
        <w:r>
          <w:rPr>
            <w:noProof/>
            <w:webHidden/>
          </w:rPr>
          <w:fldChar w:fldCharType="begin"/>
        </w:r>
        <w:r>
          <w:rPr>
            <w:noProof/>
            <w:webHidden/>
          </w:rPr>
          <w:instrText xml:space="preserve"> PAGEREF _Toc244188245 \h </w:instrText>
        </w:r>
        <w:r>
          <w:rPr>
            <w:noProof/>
            <w:webHidden/>
          </w:rPr>
        </w:r>
        <w:r>
          <w:rPr>
            <w:noProof/>
            <w:webHidden/>
          </w:rPr>
          <w:fldChar w:fldCharType="separate"/>
        </w:r>
        <w:r>
          <w:rPr>
            <w:noProof/>
            <w:webHidden/>
          </w:rPr>
          <w:t>38</w:t>
        </w:r>
        <w:r>
          <w:rPr>
            <w:noProof/>
            <w:webHidden/>
          </w:rPr>
          <w:fldChar w:fldCharType="end"/>
        </w:r>
      </w:hyperlink>
    </w:p>
    <w:p w14:paraId="640B76F0" w14:textId="6033B997"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46" w:history="1">
        <w:r w:rsidRPr="005A573C">
          <w:rPr>
            <w:rStyle w:val="Hyperlink"/>
            <w:rFonts w:eastAsia="Arial" w:cs="Arial"/>
            <w:noProof/>
          </w:rPr>
          <w:t>4.3.2 Local SHAP and LIME explanations</w:t>
        </w:r>
        <w:r>
          <w:rPr>
            <w:noProof/>
            <w:webHidden/>
          </w:rPr>
          <w:tab/>
        </w:r>
        <w:r>
          <w:rPr>
            <w:noProof/>
            <w:webHidden/>
          </w:rPr>
          <w:fldChar w:fldCharType="begin"/>
        </w:r>
        <w:r>
          <w:rPr>
            <w:noProof/>
            <w:webHidden/>
          </w:rPr>
          <w:instrText xml:space="preserve"> PAGEREF _Toc244188246 \h </w:instrText>
        </w:r>
        <w:r>
          <w:rPr>
            <w:noProof/>
            <w:webHidden/>
          </w:rPr>
        </w:r>
        <w:r>
          <w:rPr>
            <w:noProof/>
            <w:webHidden/>
          </w:rPr>
          <w:fldChar w:fldCharType="separate"/>
        </w:r>
        <w:r>
          <w:rPr>
            <w:noProof/>
            <w:webHidden/>
          </w:rPr>
          <w:t>40</w:t>
        </w:r>
        <w:r>
          <w:rPr>
            <w:noProof/>
            <w:webHidden/>
          </w:rPr>
          <w:fldChar w:fldCharType="end"/>
        </w:r>
      </w:hyperlink>
    </w:p>
    <w:p w14:paraId="26DEB4CC" w14:textId="7CD6349F"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47" w:history="1">
        <w:r w:rsidRPr="005A573C">
          <w:rPr>
            <w:rStyle w:val="Hyperlink"/>
            <w:rFonts w:eastAsia="Arial" w:cs="Arial"/>
            <w:noProof/>
          </w:rPr>
          <w:t>4.4 Results relevant to Research Question 3</w:t>
        </w:r>
        <w:r>
          <w:rPr>
            <w:noProof/>
            <w:webHidden/>
          </w:rPr>
          <w:tab/>
        </w:r>
        <w:r>
          <w:rPr>
            <w:noProof/>
            <w:webHidden/>
          </w:rPr>
          <w:fldChar w:fldCharType="begin"/>
        </w:r>
        <w:r>
          <w:rPr>
            <w:noProof/>
            <w:webHidden/>
          </w:rPr>
          <w:instrText xml:space="preserve"> PAGEREF _Toc244188247 \h </w:instrText>
        </w:r>
        <w:r>
          <w:rPr>
            <w:noProof/>
            <w:webHidden/>
          </w:rPr>
        </w:r>
        <w:r>
          <w:rPr>
            <w:noProof/>
            <w:webHidden/>
          </w:rPr>
          <w:fldChar w:fldCharType="separate"/>
        </w:r>
        <w:r>
          <w:rPr>
            <w:noProof/>
            <w:webHidden/>
          </w:rPr>
          <w:t>40</w:t>
        </w:r>
        <w:r>
          <w:rPr>
            <w:noProof/>
            <w:webHidden/>
          </w:rPr>
          <w:fldChar w:fldCharType="end"/>
        </w:r>
      </w:hyperlink>
    </w:p>
    <w:p w14:paraId="48CAC742" w14:textId="6446472A"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48" w:history="1">
        <w:r w:rsidRPr="005A573C">
          <w:rPr>
            <w:rStyle w:val="Hyperlink"/>
            <w:rFonts w:eastAsia="Arial" w:cs="Arial"/>
            <w:noProof/>
          </w:rPr>
          <w:t>4.5 Interpretation aligned with Research Question 1</w:t>
        </w:r>
        <w:r>
          <w:rPr>
            <w:noProof/>
            <w:webHidden/>
          </w:rPr>
          <w:tab/>
        </w:r>
        <w:r>
          <w:rPr>
            <w:noProof/>
            <w:webHidden/>
          </w:rPr>
          <w:fldChar w:fldCharType="begin"/>
        </w:r>
        <w:r>
          <w:rPr>
            <w:noProof/>
            <w:webHidden/>
          </w:rPr>
          <w:instrText xml:space="preserve"> PAGEREF _Toc244188248 \h </w:instrText>
        </w:r>
        <w:r>
          <w:rPr>
            <w:noProof/>
            <w:webHidden/>
          </w:rPr>
        </w:r>
        <w:r>
          <w:rPr>
            <w:noProof/>
            <w:webHidden/>
          </w:rPr>
          <w:fldChar w:fldCharType="separate"/>
        </w:r>
        <w:r>
          <w:rPr>
            <w:noProof/>
            <w:webHidden/>
          </w:rPr>
          <w:t>41</w:t>
        </w:r>
        <w:r>
          <w:rPr>
            <w:noProof/>
            <w:webHidden/>
          </w:rPr>
          <w:fldChar w:fldCharType="end"/>
        </w:r>
      </w:hyperlink>
    </w:p>
    <w:p w14:paraId="264AFDF4" w14:textId="619CC3EA"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49" w:history="1">
        <w:r w:rsidRPr="005A573C">
          <w:rPr>
            <w:rStyle w:val="Hyperlink"/>
            <w:rFonts w:eastAsia="Arial" w:cs="Arial"/>
            <w:noProof/>
          </w:rPr>
          <w:t>4.5.1 Random Forest provided the strongest overall balance</w:t>
        </w:r>
        <w:r>
          <w:rPr>
            <w:noProof/>
            <w:webHidden/>
          </w:rPr>
          <w:tab/>
        </w:r>
        <w:r>
          <w:rPr>
            <w:noProof/>
            <w:webHidden/>
          </w:rPr>
          <w:fldChar w:fldCharType="begin"/>
        </w:r>
        <w:r>
          <w:rPr>
            <w:noProof/>
            <w:webHidden/>
          </w:rPr>
          <w:instrText xml:space="preserve"> PAGEREF _Toc244188249 \h </w:instrText>
        </w:r>
        <w:r>
          <w:rPr>
            <w:noProof/>
            <w:webHidden/>
          </w:rPr>
        </w:r>
        <w:r>
          <w:rPr>
            <w:noProof/>
            <w:webHidden/>
          </w:rPr>
          <w:fldChar w:fldCharType="separate"/>
        </w:r>
        <w:r>
          <w:rPr>
            <w:noProof/>
            <w:webHidden/>
          </w:rPr>
          <w:t>41</w:t>
        </w:r>
        <w:r>
          <w:rPr>
            <w:noProof/>
            <w:webHidden/>
          </w:rPr>
          <w:fldChar w:fldCharType="end"/>
        </w:r>
      </w:hyperlink>
    </w:p>
    <w:p w14:paraId="25FD3E5A" w14:textId="7591312C"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50" w:history="1">
        <w:r w:rsidRPr="005A573C">
          <w:rPr>
            <w:rStyle w:val="Hyperlink"/>
            <w:rFonts w:eastAsia="Arial" w:cs="Arial"/>
            <w:noProof/>
          </w:rPr>
          <w:t>4.5.2 Higher recall produced substantial false-positive costs</w:t>
        </w:r>
        <w:r>
          <w:rPr>
            <w:noProof/>
            <w:webHidden/>
          </w:rPr>
          <w:tab/>
        </w:r>
        <w:r>
          <w:rPr>
            <w:noProof/>
            <w:webHidden/>
          </w:rPr>
          <w:fldChar w:fldCharType="begin"/>
        </w:r>
        <w:r>
          <w:rPr>
            <w:noProof/>
            <w:webHidden/>
          </w:rPr>
          <w:instrText xml:space="preserve"> PAGEREF _Toc244188250 \h </w:instrText>
        </w:r>
        <w:r>
          <w:rPr>
            <w:noProof/>
            <w:webHidden/>
          </w:rPr>
        </w:r>
        <w:r>
          <w:rPr>
            <w:noProof/>
            <w:webHidden/>
          </w:rPr>
          <w:fldChar w:fldCharType="separate"/>
        </w:r>
        <w:r>
          <w:rPr>
            <w:noProof/>
            <w:webHidden/>
          </w:rPr>
          <w:t>41</w:t>
        </w:r>
        <w:r>
          <w:rPr>
            <w:noProof/>
            <w:webHidden/>
          </w:rPr>
          <w:fldChar w:fldCharType="end"/>
        </w:r>
      </w:hyperlink>
    </w:p>
    <w:p w14:paraId="7F4DCBD2" w14:textId="693F3090"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51" w:history="1">
        <w:r w:rsidRPr="005A573C">
          <w:rPr>
            <w:rStyle w:val="Hyperlink"/>
            <w:rFonts w:eastAsia="Arial" w:cs="Arial"/>
            <w:noProof/>
          </w:rPr>
          <w:t>4.5.3 Accuracy concealed minority-class performance</w:t>
        </w:r>
        <w:r>
          <w:rPr>
            <w:noProof/>
            <w:webHidden/>
          </w:rPr>
          <w:tab/>
        </w:r>
        <w:r>
          <w:rPr>
            <w:noProof/>
            <w:webHidden/>
          </w:rPr>
          <w:fldChar w:fldCharType="begin"/>
        </w:r>
        <w:r>
          <w:rPr>
            <w:noProof/>
            <w:webHidden/>
          </w:rPr>
          <w:instrText xml:space="preserve"> PAGEREF _Toc244188251 \h </w:instrText>
        </w:r>
        <w:r>
          <w:rPr>
            <w:noProof/>
            <w:webHidden/>
          </w:rPr>
        </w:r>
        <w:r>
          <w:rPr>
            <w:noProof/>
            <w:webHidden/>
          </w:rPr>
          <w:fldChar w:fldCharType="separate"/>
        </w:r>
        <w:r>
          <w:rPr>
            <w:noProof/>
            <w:webHidden/>
          </w:rPr>
          <w:t>42</w:t>
        </w:r>
        <w:r>
          <w:rPr>
            <w:noProof/>
            <w:webHidden/>
          </w:rPr>
          <w:fldChar w:fldCharType="end"/>
        </w:r>
      </w:hyperlink>
    </w:p>
    <w:p w14:paraId="66914247" w14:textId="2CE3E51B"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52" w:history="1">
        <w:r w:rsidRPr="005A573C">
          <w:rPr>
            <w:rStyle w:val="Hyperlink"/>
            <w:rFonts w:eastAsia="Arial" w:cs="Arial"/>
            <w:noProof/>
          </w:rPr>
          <w:t>4.6 Interpretation aligned with Research Question 2</w:t>
        </w:r>
        <w:r>
          <w:rPr>
            <w:noProof/>
            <w:webHidden/>
          </w:rPr>
          <w:tab/>
        </w:r>
        <w:r>
          <w:rPr>
            <w:noProof/>
            <w:webHidden/>
          </w:rPr>
          <w:fldChar w:fldCharType="begin"/>
        </w:r>
        <w:r>
          <w:rPr>
            <w:noProof/>
            <w:webHidden/>
          </w:rPr>
          <w:instrText xml:space="preserve"> PAGEREF _Toc244188252 \h </w:instrText>
        </w:r>
        <w:r>
          <w:rPr>
            <w:noProof/>
            <w:webHidden/>
          </w:rPr>
        </w:r>
        <w:r>
          <w:rPr>
            <w:noProof/>
            <w:webHidden/>
          </w:rPr>
          <w:fldChar w:fldCharType="separate"/>
        </w:r>
        <w:r>
          <w:rPr>
            <w:noProof/>
            <w:webHidden/>
          </w:rPr>
          <w:t>42</w:t>
        </w:r>
        <w:r>
          <w:rPr>
            <w:noProof/>
            <w:webHidden/>
          </w:rPr>
          <w:fldChar w:fldCharType="end"/>
        </w:r>
      </w:hyperlink>
    </w:p>
    <w:p w14:paraId="6DA89BE5" w14:textId="4CB10B31"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53" w:history="1">
        <w:r w:rsidRPr="005A573C">
          <w:rPr>
            <w:rStyle w:val="Hyperlink"/>
            <w:rFonts w:eastAsia="Arial" w:cs="Arial"/>
            <w:noProof/>
          </w:rPr>
          <w:t>4.6.1 SHAP identified a concentrated global feature set</w:t>
        </w:r>
        <w:r>
          <w:rPr>
            <w:noProof/>
            <w:webHidden/>
          </w:rPr>
          <w:tab/>
        </w:r>
        <w:r>
          <w:rPr>
            <w:noProof/>
            <w:webHidden/>
          </w:rPr>
          <w:fldChar w:fldCharType="begin"/>
        </w:r>
        <w:r>
          <w:rPr>
            <w:noProof/>
            <w:webHidden/>
          </w:rPr>
          <w:instrText xml:space="preserve"> PAGEREF _Toc244188253 \h </w:instrText>
        </w:r>
        <w:r>
          <w:rPr>
            <w:noProof/>
            <w:webHidden/>
          </w:rPr>
        </w:r>
        <w:r>
          <w:rPr>
            <w:noProof/>
            <w:webHidden/>
          </w:rPr>
          <w:fldChar w:fldCharType="separate"/>
        </w:r>
        <w:r>
          <w:rPr>
            <w:noProof/>
            <w:webHidden/>
          </w:rPr>
          <w:t>42</w:t>
        </w:r>
        <w:r>
          <w:rPr>
            <w:noProof/>
            <w:webHidden/>
          </w:rPr>
          <w:fldChar w:fldCharType="end"/>
        </w:r>
      </w:hyperlink>
    </w:p>
    <w:p w14:paraId="787194ED" w14:textId="11F5F459"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54" w:history="1">
        <w:r w:rsidRPr="005A573C">
          <w:rPr>
            <w:rStyle w:val="Hyperlink"/>
            <w:rFonts w:eastAsia="Arial" w:cs="Arial"/>
            <w:noProof/>
          </w:rPr>
          <w:t>4.6.2 SHAP and LIME agreed most strongly on clear cases</w:t>
        </w:r>
        <w:r>
          <w:rPr>
            <w:noProof/>
            <w:webHidden/>
          </w:rPr>
          <w:tab/>
        </w:r>
        <w:r>
          <w:rPr>
            <w:noProof/>
            <w:webHidden/>
          </w:rPr>
          <w:fldChar w:fldCharType="begin"/>
        </w:r>
        <w:r>
          <w:rPr>
            <w:noProof/>
            <w:webHidden/>
          </w:rPr>
          <w:instrText xml:space="preserve"> PAGEREF _Toc244188254 \h </w:instrText>
        </w:r>
        <w:r>
          <w:rPr>
            <w:noProof/>
            <w:webHidden/>
          </w:rPr>
        </w:r>
        <w:r>
          <w:rPr>
            <w:noProof/>
            <w:webHidden/>
          </w:rPr>
          <w:fldChar w:fldCharType="separate"/>
        </w:r>
        <w:r>
          <w:rPr>
            <w:noProof/>
            <w:webHidden/>
          </w:rPr>
          <w:t>43</w:t>
        </w:r>
        <w:r>
          <w:rPr>
            <w:noProof/>
            <w:webHidden/>
          </w:rPr>
          <w:fldChar w:fldCharType="end"/>
        </w:r>
      </w:hyperlink>
    </w:p>
    <w:p w14:paraId="386B484D" w14:textId="0D93803A"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55" w:history="1">
        <w:r w:rsidRPr="005A573C">
          <w:rPr>
            <w:rStyle w:val="Hyperlink"/>
            <w:rFonts w:eastAsia="Arial" w:cs="Arial"/>
            <w:noProof/>
          </w:rPr>
          <w:t>4.7 Interpretation aligned with Research Question 3</w:t>
        </w:r>
        <w:r>
          <w:rPr>
            <w:noProof/>
            <w:webHidden/>
          </w:rPr>
          <w:tab/>
        </w:r>
        <w:r>
          <w:rPr>
            <w:noProof/>
            <w:webHidden/>
          </w:rPr>
          <w:fldChar w:fldCharType="begin"/>
        </w:r>
        <w:r>
          <w:rPr>
            <w:noProof/>
            <w:webHidden/>
          </w:rPr>
          <w:instrText xml:space="preserve"> PAGEREF _Toc244188255 \h </w:instrText>
        </w:r>
        <w:r>
          <w:rPr>
            <w:noProof/>
            <w:webHidden/>
          </w:rPr>
        </w:r>
        <w:r>
          <w:rPr>
            <w:noProof/>
            <w:webHidden/>
          </w:rPr>
          <w:fldChar w:fldCharType="separate"/>
        </w:r>
        <w:r>
          <w:rPr>
            <w:noProof/>
            <w:webHidden/>
          </w:rPr>
          <w:t>43</w:t>
        </w:r>
        <w:r>
          <w:rPr>
            <w:noProof/>
            <w:webHidden/>
          </w:rPr>
          <w:fldChar w:fldCharType="end"/>
        </w:r>
      </w:hyperlink>
    </w:p>
    <w:p w14:paraId="06C183B9" w14:textId="2D00412E"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56" w:history="1">
        <w:r w:rsidRPr="005A573C">
          <w:rPr>
            <w:rStyle w:val="Hyperlink"/>
            <w:rFonts w:eastAsia="Arial" w:cs="Arial"/>
            <w:noProof/>
          </w:rPr>
          <w:t>4.7.1 Practical, theoretical and community implications</w:t>
        </w:r>
        <w:r>
          <w:rPr>
            <w:noProof/>
            <w:webHidden/>
          </w:rPr>
          <w:tab/>
        </w:r>
        <w:r>
          <w:rPr>
            <w:noProof/>
            <w:webHidden/>
          </w:rPr>
          <w:fldChar w:fldCharType="begin"/>
        </w:r>
        <w:r>
          <w:rPr>
            <w:noProof/>
            <w:webHidden/>
          </w:rPr>
          <w:instrText xml:space="preserve"> PAGEREF _Toc244188256 \h </w:instrText>
        </w:r>
        <w:r>
          <w:rPr>
            <w:noProof/>
            <w:webHidden/>
          </w:rPr>
        </w:r>
        <w:r>
          <w:rPr>
            <w:noProof/>
            <w:webHidden/>
          </w:rPr>
          <w:fldChar w:fldCharType="separate"/>
        </w:r>
        <w:r>
          <w:rPr>
            <w:noProof/>
            <w:webHidden/>
          </w:rPr>
          <w:t>45</w:t>
        </w:r>
        <w:r>
          <w:rPr>
            <w:noProof/>
            <w:webHidden/>
          </w:rPr>
          <w:fldChar w:fldCharType="end"/>
        </w:r>
      </w:hyperlink>
    </w:p>
    <w:p w14:paraId="48E70A34" w14:textId="60FA6131"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57" w:history="1">
        <w:r w:rsidRPr="005A573C">
          <w:rPr>
            <w:rStyle w:val="Hyperlink"/>
            <w:rFonts w:eastAsia="Arial" w:cs="Arial"/>
            <w:noProof/>
          </w:rPr>
          <w:t>4.8 Hypothesis evaluation</w:t>
        </w:r>
        <w:r>
          <w:rPr>
            <w:noProof/>
            <w:webHidden/>
          </w:rPr>
          <w:tab/>
        </w:r>
        <w:r>
          <w:rPr>
            <w:noProof/>
            <w:webHidden/>
          </w:rPr>
          <w:fldChar w:fldCharType="begin"/>
        </w:r>
        <w:r>
          <w:rPr>
            <w:noProof/>
            <w:webHidden/>
          </w:rPr>
          <w:instrText xml:space="preserve"> PAGEREF _Toc244188257 \h </w:instrText>
        </w:r>
        <w:r>
          <w:rPr>
            <w:noProof/>
            <w:webHidden/>
          </w:rPr>
        </w:r>
        <w:r>
          <w:rPr>
            <w:noProof/>
            <w:webHidden/>
          </w:rPr>
          <w:fldChar w:fldCharType="separate"/>
        </w:r>
        <w:r>
          <w:rPr>
            <w:noProof/>
            <w:webHidden/>
          </w:rPr>
          <w:t>45</w:t>
        </w:r>
        <w:r>
          <w:rPr>
            <w:noProof/>
            <w:webHidden/>
          </w:rPr>
          <w:fldChar w:fldCharType="end"/>
        </w:r>
      </w:hyperlink>
    </w:p>
    <w:p w14:paraId="627F36FE" w14:textId="4DDD5C49"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58" w:history="1">
        <w:r w:rsidRPr="005A573C">
          <w:rPr>
            <w:rStyle w:val="Hyperlink"/>
            <w:rFonts w:eastAsia="Arial" w:cs="Arial"/>
            <w:noProof/>
          </w:rPr>
          <w:t>4.9 Chapter summary</w:t>
        </w:r>
        <w:r>
          <w:rPr>
            <w:noProof/>
            <w:webHidden/>
          </w:rPr>
          <w:tab/>
        </w:r>
        <w:r>
          <w:rPr>
            <w:noProof/>
            <w:webHidden/>
          </w:rPr>
          <w:fldChar w:fldCharType="begin"/>
        </w:r>
        <w:r>
          <w:rPr>
            <w:noProof/>
            <w:webHidden/>
          </w:rPr>
          <w:instrText xml:space="preserve"> PAGEREF _Toc244188258 \h </w:instrText>
        </w:r>
        <w:r>
          <w:rPr>
            <w:noProof/>
            <w:webHidden/>
          </w:rPr>
        </w:r>
        <w:r>
          <w:rPr>
            <w:noProof/>
            <w:webHidden/>
          </w:rPr>
          <w:fldChar w:fldCharType="separate"/>
        </w:r>
        <w:r>
          <w:rPr>
            <w:noProof/>
            <w:webHidden/>
          </w:rPr>
          <w:t>46</w:t>
        </w:r>
        <w:r>
          <w:rPr>
            <w:noProof/>
            <w:webHidden/>
          </w:rPr>
          <w:fldChar w:fldCharType="end"/>
        </w:r>
      </w:hyperlink>
    </w:p>
    <w:p w14:paraId="456DA0C4" w14:textId="2D940EA6"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59" w:history="1">
        <w:r w:rsidRPr="005A573C">
          <w:rPr>
            <w:rStyle w:val="Hyperlink"/>
            <w:rFonts w:eastAsia="Arial" w:cs="Arial"/>
            <w:noProof/>
          </w:rPr>
          <w:t>Chapter 5 Conclusions and Recommendations</w:t>
        </w:r>
        <w:r>
          <w:rPr>
            <w:noProof/>
            <w:webHidden/>
          </w:rPr>
          <w:tab/>
        </w:r>
        <w:r>
          <w:rPr>
            <w:noProof/>
            <w:webHidden/>
          </w:rPr>
          <w:fldChar w:fldCharType="begin"/>
        </w:r>
        <w:r>
          <w:rPr>
            <w:noProof/>
            <w:webHidden/>
          </w:rPr>
          <w:instrText xml:space="preserve"> PAGEREF _Toc244188259 \h </w:instrText>
        </w:r>
        <w:r>
          <w:rPr>
            <w:noProof/>
            <w:webHidden/>
          </w:rPr>
        </w:r>
        <w:r>
          <w:rPr>
            <w:noProof/>
            <w:webHidden/>
          </w:rPr>
          <w:fldChar w:fldCharType="separate"/>
        </w:r>
        <w:r>
          <w:rPr>
            <w:noProof/>
            <w:webHidden/>
          </w:rPr>
          <w:t>47</w:t>
        </w:r>
        <w:r>
          <w:rPr>
            <w:noProof/>
            <w:webHidden/>
          </w:rPr>
          <w:fldChar w:fldCharType="end"/>
        </w:r>
      </w:hyperlink>
    </w:p>
    <w:p w14:paraId="19BD47A9" w14:textId="162104DB"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60" w:history="1">
        <w:r w:rsidRPr="005A573C">
          <w:rPr>
            <w:rStyle w:val="Hyperlink"/>
            <w:rFonts w:eastAsia="Arial" w:cs="Arial"/>
            <w:noProof/>
          </w:rPr>
          <w:t>5.1 Conclusions by research question</w:t>
        </w:r>
        <w:r>
          <w:rPr>
            <w:noProof/>
            <w:webHidden/>
          </w:rPr>
          <w:tab/>
        </w:r>
        <w:r>
          <w:rPr>
            <w:noProof/>
            <w:webHidden/>
          </w:rPr>
          <w:fldChar w:fldCharType="begin"/>
        </w:r>
        <w:r>
          <w:rPr>
            <w:noProof/>
            <w:webHidden/>
          </w:rPr>
          <w:instrText xml:space="preserve"> PAGEREF _Toc244188260 \h </w:instrText>
        </w:r>
        <w:r>
          <w:rPr>
            <w:noProof/>
            <w:webHidden/>
          </w:rPr>
        </w:r>
        <w:r>
          <w:rPr>
            <w:noProof/>
            <w:webHidden/>
          </w:rPr>
          <w:fldChar w:fldCharType="separate"/>
        </w:r>
        <w:r>
          <w:rPr>
            <w:noProof/>
            <w:webHidden/>
          </w:rPr>
          <w:t>47</w:t>
        </w:r>
        <w:r>
          <w:rPr>
            <w:noProof/>
            <w:webHidden/>
          </w:rPr>
          <w:fldChar w:fldCharType="end"/>
        </w:r>
      </w:hyperlink>
    </w:p>
    <w:p w14:paraId="0D72EAAD" w14:textId="79DC2CED"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61" w:history="1">
        <w:r w:rsidRPr="005A573C">
          <w:rPr>
            <w:rStyle w:val="Hyperlink"/>
            <w:rFonts w:eastAsia="Arial" w:cs="Arial"/>
            <w:noProof/>
          </w:rPr>
          <w:t>5.1.1 Conclusion for Research Question 1</w:t>
        </w:r>
        <w:r>
          <w:rPr>
            <w:noProof/>
            <w:webHidden/>
          </w:rPr>
          <w:tab/>
        </w:r>
        <w:r>
          <w:rPr>
            <w:noProof/>
            <w:webHidden/>
          </w:rPr>
          <w:fldChar w:fldCharType="begin"/>
        </w:r>
        <w:r>
          <w:rPr>
            <w:noProof/>
            <w:webHidden/>
          </w:rPr>
          <w:instrText xml:space="preserve"> PAGEREF _Toc244188261 \h </w:instrText>
        </w:r>
        <w:r>
          <w:rPr>
            <w:noProof/>
            <w:webHidden/>
          </w:rPr>
        </w:r>
        <w:r>
          <w:rPr>
            <w:noProof/>
            <w:webHidden/>
          </w:rPr>
          <w:fldChar w:fldCharType="separate"/>
        </w:r>
        <w:r>
          <w:rPr>
            <w:noProof/>
            <w:webHidden/>
          </w:rPr>
          <w:t>47</w:t>
        </w:r>
        <w:r>
          <w:rPr>
            <w:noProof/>
            <w:webHidden/>
          </w:rPr>
          <w:fldChar w:fldCharType="end"/>
        </w:r>
      </w:hyperlink>
    </w:p>
    <w:p w14:paraId="0CA19EE1" w14:textId="3ECD2E95"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62" w:history="1">
        <w:r w:rsidRPr="005A573C">
          <w:rPr>
            <w:rStyle w:val="Hyperlink"/>
            <w:rFonts w:eastAsia="Arial" w:cs="Arial"/>
            <w:noProof/>
          </w:rPr>
          <w:t>5.1.2 Conclusion for Research Question 2</w:t>
        </w:r>
        <w:r>
          <w:rPr>
            <w:noProof/>
            <w:webHidden/>
          </w:rPr>
          <w:tab/>
        </w:r>
        <w:r>
          <w:rPr>
            <w:noProof/>
            <w:webHidden/>
          </w:rPr>
          <w:fldChar w:fldCharType="begin"/>
        </w:r>
        <w:r>
          <w:rPr>
            <w:noProof/>
            <w:webHidden/>
          </w:rPr>
          <w:instrText xml:space="preserve"> PAGEREF _Toc244188262 \h </w:instrText>
        </w:r>
        <w:r>
          <w:rPr>
            <w:noProof/>
            <w:webHidden/>
          </w:rPr>
        </w:r>
        <w:r>
          <w:rPr>
            <w:noProof/>
            <w:webHidden/>
          </w:rPr>
          <w:fldChar w:fldCharType="separate"/>
        </w:r>
        <w:r>
          <w:rPr>
            <w:noProof/>
            <w:webHidden/>
          </w:rPr>
          <w:t>47</w:t>
        </w:r>
        <w:r>
          <w:rPr>
            <w:noProof/>
            <w:webHidden/>
          </w:rPr>
          <w:fldChar w:fldCharType="end"/>
        </w:r>
      </w:hyperlink>
    </w:p>
    <w:p w14:paraId="2F58E1C6" w14:textId="4C828995" w:rsidR="005E7C3D" w:rsidRDefault="005E7C3D">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8263" w:history="1">
        <w:r w:rsidRPr="005A573C">
          <w:rPr>
            <w:rStyle w:val="Hyperlink"/>
            <w:rFonts w:eastAsia="Arial" w:cs="Arial"/>
            <w:noProof/>
          </w:rPr>
          <w:t>5.1.3 Conclusion for Research Question 3</w:t>
        </w:r>
        <w:r>
          <w:rPr>
            <w:noProof/>
            <w:webHidden/>
          </w:rPr>
          <w:tab/>
        </w:r>
        <w:r>
          <w:rPr>
            <w:noProof/>
            <w:webHidden/>
          </w:rPr>
          <w:fldChar w:fldCharType="begin"/>
        </w:r>
        <w:r>
          <w:rPr>
            <w:noProof/>
            <w:webHidden/>
          </w:rPr>
          <w:instrText xml:space="preserve"> PAGEREF _Toc244188263 \h </w:instrText>
        </w:r>
        <w:r>
          <w:rPr>
            <w:noProof/>
            <w:webHidden/>
          </w:rPr>
        </w:r>
        <w:r>
          <w:rPr>
            <w:noProof/>
            <w:webHidden/>
          </w:rPr>
          <w:fldChar w:fldCharType="separate"/>
        </w:r>
        <w:r>
          <w:rPr>
            <w:noProof/>
            <w:webHidden/>
          </w:rPr>
          <w:t>47</w:t>
        </w:r>
        <w:r>
          <w:rPr>
            <w:noProof/>
            <w:webHidden/>
          </w:rPr>
          <w:fldChar w:fldCharType="end"/>
        </w:r>
      </w:hyperlink>
    </w:p>
    <w:p w14:paraId="7FDA4011" w14:textId="5A5DADD7"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64" w:history="1">
        <w:r w:rsidRPr="005A573C">
          <w:rPr>
            <w:rStyle w:val="Hyperlink"/>
            <w:rFonts w:eastAsia="Arial" w:cs="Arial"/>
            <w:noProof/>
          </w:rPr>
          <w:t>5.2 Contribution of the study</w:t>
        </w:r>
        <w:r>
          <w:rPr>
            <w:noProof/>
            <w:webHidden/>
          </w:rPr>
          <w:tab/>
        </w:r>
        <w:r>
          <w:rPr>
            <w:noProof/>
            <w:webHidden/>
          </w:rPr>
          <w:fldChar w:fldCharType="begin"/>
        </w:r>
        <w:r>
          <w:rPr>
            <w:noProof/>
            <w:webHidden/>
          </w:rPr>
          <w:instrText xml:space="preserve"> PAGEREF _Toc244188264 \h </w:instrText>
        </w:r>
        <w:r>
          <w:rPr>
            <w:noProof/>
            <w:webHidden/>
          </w:rPr>
        </w:r>
        <w:r>
          <w:rPr>
            <w:noProof/>
            <w:webHidden/>
          </w:rPr>
          <w:fldChar w:fldCharType="separate"/>
        </w:r>
        <w:r>
          <w:rPr>
            <w:noProof/>
            <w:webHidden/>
          </w:rPr>
          <w:t>47</w:t>
        </w:r>
        <w:r>
          <w:rPr>
            <w:noProof/>
            <w:webHidden/>
          </w:rPr>
          <w:fldChar w:fldCharType="end"/>
        </w:r>
      </w:hyperlink>
    </w:p>
    <w:p w14:paraId="72D8D5E4" w14:textId="5B05AFF4"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65" w:history="1">
        <w:r w:rsidRPr="005A573C">
          <w:rPr>
            <w:rStyle w:val="Hyperlink"/>
            <w:rFonts w:eastAsia="Arial" w:cs="Arial"/>
            <w:noProof/>
          </w:rPr>
          <w:t>5.3 Recommendations</w:t>
        </w:r>
        <w:r>
          <w:rPr>
            <w:noProof/>
            <w:webHidden/>
          </w:rPr>
          <w:tab/>
        </w:r>
        <w:r>
          <w:rPr>
            <w:noProof/>
            <w:webHidden/>
          </w:rPr>
          <w:fldChar w:fldCharType="begin"/>
        </w:r>
        <w:r>
          <w:rPr>
            <w:noProof/>
            <w:webHidden/>
          </w:rPr>
          <w:instrText xml:space="preserve"> PAGEREF _Toc244188265 \h </w:instrText>
        </w:r>
        <w:r>
          <w:rPr>
            <w:noProof/>
            <w:webHidden/>
          </w:rPr>
        </w:r>
        <w:r>
          <w:rPr>
            <w:noProof/>
            <w:webHidden/>
          </w:rPr>
          <w:fldChar w:fldCharType="separate"/>
        </w:r>
        <w:r>
          <w:rPr>
            <w:noProof/>
            <w:webHidden/>
          </w:rPr>
          <w:t>48</w:t>
        </w:r>
        <w:r>
          <w:rPr>
            <w:noProof/>
            <w:webHidden/>
          </w:rPr>
          <w:fldChar w:fldCharType="end"/>
        </w:r>
      </w:hyperlink>
    </w:p>
    <w:p w14:paraId="039286A4" w14:textId="10355E4B"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66" w:history="1">
        <w:r w:rsidRPr="005A573C">
          <w:rPr>
            <w:rStyle w:val="Hyperlink"/>
            <w:rFonts w:eastAsia="Arial" w:cs="Arial"/>
            <w:noProof/>
          </w:rPr>
          <w:t>5.4 Study limitations</w:t>
        </w:r>
        <w:r>
          <w:rPr>
            <w:noProof/>
            <w:webHidden/>
          </w:rPr>
          <w:tab/>
        </w:r>
        <w:r>
          <w:rPr>
            <w:noProof/>
            <w:webHidden/>
          </w:rPr>
          <w:fldChar w:fldCharType="begin"/>
        </w:r>
        <w:r>
          <w:rPr>
            <w:noProof/>
            <w:webHidden/>
          </w:rPr>
          <w:instrText xml:space="preserve"> PAGEREF _Toc244188266 \h </w:instrText>
        </w:r>
        <w:r>
          <w:rPr>
            <w:noProof/>
            <w:webHidden/>
          </w:rPr>
        </w:r>
        <w:r>
          <w:rPr>
            <w:noProof/>
            <w:webHidden/>
          </w:rPr>
          <w:fldChar w:fldCharType="separate"/>
        </w:r>
        <w:r>
          <w:rPr>
            <w:noProof/>
            <w:webHidden/>
          </w:rPr>
          <w:t>49</w:t>
        </w:r>
        <w:r>
          <w:rPr>
            <w:noProof/>
            <w:webHidden/>
          </w:rPr>
          <w:fldChar w:fldCharType="end"/>
        </w:r>
      </w:hyperlink>
    </w:p>
    <w:p w14:paraId="2743E9F7" w14:textId="44069A86"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67" w:history="1">
        <w:r w:rsidRPr="005A573C">
          <w:rPr>
            <w:rStyle w:val="Hyperlink"/>
            <w:rFonts w:eastAsia="Arial" w:cs="Arial"/>
            <w:noProof/>
          </w:rPr>
          <w:t>5.5 Future research</w:t>
        </w:r>
        <w:r>
          <w:rPr>
            <w:noProof/>
            <w:webHidden/>
          </w:rPr>
          <w:tab/>
        </w:r>
        <w:r>
          <w:rPr>
            <w:noProof/>
            <w:webHidden/>
          </w:rPr>
          <w:fldChar w:fldCharType="begin"/>
        </w:r>
        <w:r>
          <w:rPr>
            <w:noProof/>
            <w:webHidden/>
          </w:rPr>
          <w:instrText xml:space="preserve"> PAGEREF _Toc244188267 \h </w:instrText>
        </w:r>
        <w:r>
          <w:rPr>
            <w:noProof/>
            <w:webHidden/>
          </w:rPr>
        </w:r>
        <w:r>
          <w:rPr>
            <w:noProof/>
            <w:webHidden/>
          </w:rPr>
          <w:fldChar w:fldCharType="separate"/>
        </w:r>
        <w:r>
          <w:rPr>
            <w:noProof/>
            <w:webHidden/>
          </w:rPr>
          <w:t>49</w:t>
        </w:r>
        <w:r>
          <w:rPr>
            <w:noProof/>
            <w:webHidden/>
          </w:rPr>
          <w:fldChar w:fldCharType="end"/>
        </w:r>
      </w:hyperlink>
    </w:p>
    <w:p w14:paraId="73737EE5" w14:textId="08AAFBB9" w:rsidR="005E7C3D" w:rsidRDefault="005E7C3D">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8268" w:history="1">
        <w:r w:rsidRPr="005A573C">
          <w:rPr>
            <w:rStyle w:val="Hyperlink"/>
            <w:rFonts w:eastAsia="Arial" w:cs="Arial"/>
            <w:noProof/>
          </w:rPr>
          <w:t>5.6 Final conclusion</w:t>
        </w:r>
        <w:r>
          <w:rPr>
            <w:noProof/>
            <w:webHidden/>
          </w:rPr>
          <w:tab/>
        </w:r>
        <w:r>
          <w:rPr>
            <w:noProof/>
            <w:webHidden/>
          </w:rPr>
          <w:fldChar w:fldCharType="begin"/>
        </w:r>
        <w:r>
          <w:rPr>
            <w:noProof/>
            <w:webHidden/>
          </w:rPr>
          <w:instrText xml:space="preserve"> PAGEREF _Toc244188268 \h </w:instrText>
        </w:r>
        <w:r>
          <w:rPr>
            <w:noProof/>
            <w:webHidden/>
          </w:rPr>
        </w:r>
        <w:r>
          <w:rPr>
            <w:noProof/>
            <w:webHidden/>
          </w:rPr>
          <w:fldChar w:fldCharType="separate"/>
        </w:r>
        <w:r>
          <w:rPr>
            <w:noProof/>
            <w:webHidden/>
          </w:rPr>
          <w:t>50</w:t>
        </w:r>
        <w:r>
          <w:rPr>
            <w:noProof/>
            <w:webHidden/>
          </w:rPr>
          <w:fldChar w:fldCharType="end"/>
        </w:r>
      </w:hyperlink>
    </w:p>
    <w:p w14:paraId="30D8130D" w14:textId="49F8DCE4"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69" w:history="1">
        <w:r w:rsidRPr="005A573C">
          <w:rPr>
            <w:rStyle w:val="Hyperlink"/>
            <w:rFonts w:eastAsia="Arial" w:cs="Arial"/>
            <w:noProof/>
          </w:rPr>
          <w:t>References</w:t>
        </w:r>
        <w:r>
          <w:rPr>
            <w:noProof/>
            <w:webHidden/>
          </w:rPr>
          <w:tab/>
        </w:r>
        <w:r>
          <w:rPr>
            <w:noProof/>
            <w:webHidden/>
          </w:rPr>
          <w:fldChar w:fldCharType="begin"/>
        </w:r>
        <w:r>
          <w:rPr>
            <w:noProof/>
            <w:webHidden/>
          </w:rPr>
          <w:instrText xml:space="preserve"> PAGEREF _Toc244188269 \h </w:instrText>
        </w:r>
        <w:r>
          <w:rPr>
            <w:noProof/>
            <w:webHidden/>
          </w:rPr>
        </w:r>
        <w:r>
          <w:rPr>
            <w:noProof/>
            <w:webHidden/>
          </w:rPr>
          <w:fldChar w:fldCharType="separate"/>
        </w:r>
        <w:r>
          <w:rPr>
            <w:noProof/>
            <w:webHidden/>
          </w:rPr>
          <w:t>50</w:t>
        </w:r>
        <w:r>
          <w:rPr>
            <w:noProof/>
            <w:webHidden/>
          </w:rPr>
          <w:fldChar w:fldCharType="end"/>
        </w:r>
      </w:hyperlink>
    </w:p>
    <w:p w14:paraId="6C5F96F0" w14:textId="665C1C0B"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70" w:history="1">
        <w:r w:rsidRPr="005A573C">
          <w:rPr>
            <w:rStyle w:val="Hyperlink"/>
            <w:rFonts w:eastAsia="Arial" w:cs="Arial"/>
            <w:noProof/>
          </w:rPr>
          <w:t>Annexure A Signed Ethics Waiver Letter</w:t>
        </w:r>
        <w:r>
          <w:rPr>
            <w:noProof/>
            <w:webHidden/>
          </w:rPr>
          <w:tab/>
        </w:r>
        <w:r>
          <w:rPr>
            <w:noProof/>
            <w:webHidden/>
          </w:rPr>
          <w:fldChar w:fldCharType="begin"/>
        </w:r>
        <w:r>
          <w:rPr>
            <w:noProof/>
            <w:webHidden/>
          </w:rPr>
          <w:instrText xml:space="preserve"> PAGEREF _Toc244188270 \h </w:instrText>
        </w:r>
        <w:r>
          <w:rPr>
            <w:noProof/>
            <w:webHidden/>
          </w:rPr>
        </w:r>
        <w:r>
          <w:rPr>
            <w:noProof/>
            <w:webHidden/>
          </w:rPr>
          <w:fldChar w:fldCharType="separate"/>
        </w:r>
        <w:r>
          <w:rPr>
            <w:noProof/>
            <w:webHidden/>
          </w:rPr>
          <w:t>52</w:t>
        </w:r>
        <w:r>
          <w:rPr>
            <w:noProof/>
            <w:webHidden/>
          </w:rPr>
          <w:fldChar w:fldCharType="end"/>
        </w:r>
      </w:hyperlink>
    </w:p>
    <w:p w14:paraId="2A2E5E63" w14:textId="5DDDCDA6"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71" w:history="1">
        <w:r w:rsidRPr="005A573C">
          <w:rPr>
            <w:rStyle w:val="Hyperlink"/>
            <w:rFonts w:eastAsia="Arial" w:cs="Arial"/>
            <w:noProof/>
          </w:rPr>
          <w:t>Annexure B AI Use Disclosure and Prompt Activity Log</w:t>
        </w:r>
        <w:r>
          <w:rPr>
            <w:noProof/>
            <w:webHidden/>
          </w:rPr>
          <w:tab/>
        </w:r>
        <w:r>
          <w:rPr>
            <w:noProof/>
            <w:webHidden/>
          </w:rPr>
          <w:fldChar w:fldCharType="begin"/>
        </w:r>
        <w:r>
          <w:rPr>
            <w:noProof/>
            <w:webHidden/>
          </w:rPr>
          <w:instrText xml:space="preserve"> PAGEREF _Toc244188271 \h </w:instrText>
        </w:r>
        <w:r>
          <w:rPr>
            <w:noProof/>
            <w:webHidden/>
          </w:rPr>
        </w:r>
        <w:r>
          <w:rPr>
            <w:noProof/>
            <w:webHidden/>
          </w:rPr>
          <w:fldChar w:fldCharType="separate"/>
        </w:r>
        <w:r>
          <w:rPr>
            <w:noProof/>
            <w:webHidden/>
          </w:rPr>
          <w:t>54</w:t>
        </w:r>
        <w:r>
          <w:rPr>
            <w:noProof/>
            <w:webHidden/>
          </w:rPr>
          <w:fldChar w:fldCharType="end"/>
        </w:r>
      </w:hyperlink>
    </w:p>
    <w:p w14:paraId="4FE7D6B4" w14:textId="78D3593F"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72" w:history="1">
        <w:r w:rsidRPr="005A573C">
          <w:rPr>
            <w:rStyle w:val="Hyperlink"/>
            <w:rFonts w:eastAsia="Arial" w:cs="Arial"/>
            <w:noProof/>
          </w:rPr>
          <w:t>Annexure C Dataset Description</w:t>
        </w:r>
        <w:r>
          <w:rPr>
            <w:noProof/>
            <w:webHidden/>
          </w:rPr>
          <w:tab/>
        </w:r>
        <w:r>
          <w:rPr>
            <w:noProof/>
            <w:webHidden/>
          </w:rPr>
          <w:fldChar w:fldCharType="begin"/>
        </w:r>
        <w:r>
          <w:rPr>
            <w:noProof/>
            <w:webHidden/>
          </w:rPr>
          <w:instrText xml:space="preserve"> PAGEREF _Toc244188272 \h </w:instrText>
        </w:r>
        <w:r>
          <w:rPr>
            <w:noProof/>
            <w:webHidden/>
          </w:rPr>
        </w:r>
        <w:r>
          <w:rPr>
            <w:noProof/>
            <w:webHidden/>
          </w:rPr>
          <w:fldChar w:fldCharType="separate"/>
        </w:r>
        <w:r>
          <w:rPr>
            <w:noProof/>
            <w:webHidden/>
          </w:rPr>
          <w:t>56</w:t>
        </w:r>
        <w:r>
          <w:rPr>
            <w:noProof/>
            <w:webHidden/>
          </w:rPr>
          <w:fldChar w:fldCharType="end"/>
        </w:r>
      </w:hyperlink>
    </w:p>
    <w:p w14:paraId="0C248FF6" w14:textId="146F746F" w:rsidR="005E7C3D" w:rsidRDefault="005E7C3D">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8273" w:history="1">
        <w:r w:rsidRPr="005A573C">
          <w:rPr>
            <w:rStyle w:val="Hyperlink"/>
            <w:rFonts w:eastAsia="Arial" w:cs="Arial"/>
            <w:noProof/>
          </w:rPr>
          <w:t>Annexure D Research Artefacts Register</w:t>
        </w:r>
        <w:r>
          <w:rPr>
            <w:noProof/>
            <w:webHidden/>
          </w:rPr>
          <w:tab/>
        </w:r>
        <w:r>
          <w:rPr>
            <w:noProof/>
            <w:webHidden/>
          </w:rPr>
          <w:fldChar w:fldCharType="begin"/>
        </w:r>
        <w:r>
          <w:rPr>
            <w:noProof/>
            <w:webHidden/>
          </w:rPr>
          <w:instrText xml:space="preserve"> PAGEREF _Toc244188273 \h </w:instrText>
        </w:r>
        <w:r>
          <w:rPr>
            <w:noProof/>
            <w:webHidden/>
          </w:rPr>
        </w:r>
        <w:r>
          <w:rPr>
            <w:noProof/>
            <w:webHidden/>
          </w:rPr>
          <w:fldChar w:fldCharType="separate"/>
        </w:r>
        <w:r>
          <w:rPr>
            <w:noProof/>
            <w:webHidden/>
          </w:rPr>
          <w:t>57</w:t>
        </w:r>
        <w:r>
          <w:rPr>
            <w:noProof/>
            <w:webHidden/>
          </w:rPr>
          <w:fldChar w:fldCharType="end"/>
        </w:r>
      </w:hyperlink>
    </w:p>
    <w:p w14:paraId="7586FB54" w14:textId="71B3784D" w:rsidR="00BF7046" w:rsidRDefault="00AE213B">
      <w:r>
        <w:rPr>
          <w:rFonts w:eastAsia="Arial" w:cs="Arial"/>
        </w:rPr>
        <w:fldChar w:fldCharType="end"/>
      </w:r>
    </w:p>
    <w:p w14:paraId="5664AF3D" w14:textId="77777777" w:rsidR="00D73286" w:rsidRDefault="003405A5">
      <w:pPr>
        <w:pStyle w:val="Heading1"/>
        <w:pageBreakBefore/>
      </w:pPr>
      <w:bookmarkStart w:id="4" w:name="_Toc244188200"/>
      <w:r>
        <w:rPr>
          <w:rFonts w:ascii="Arial" w:eastAsia="Arial" w:hAnsi="Arial" w:cs="Arial"/>
        </w:rPr>
        <w:lastRenderedPageBreak/>
        <w:t>List of Tables</w:t>
      </w:r>
      <w:bookmarkEnd w:id="4"/>
    </w:p>
    <w:p w14:paraId="6FA39C63" w14:textId="302FD84B" w:rsidR="00D73286" w:rsidRDefault="003405A5">
      <w:pPr>
        <w:keepNext/>
        <w:tabs>
          <w:tab w:val="right" w:leader="dot" w:pos="9000"/>
        </w:tabs>
        <w:spacing w:line="240" w:lineRule="auto"/>
        <w:jc w:val="center"/>
      </w:pPr>
      <w:r>
        <w:rPr>
          <w:rFonts w:eastAsia="Arial" w:cs="Arial"/>
          <w:i/>
        </w:rPr>
        <w:t>Table 1. Performance on the untouched stratified test set.</w:t>
      </w:r>
      <w:r>
        <w:rPr>
          <w:rFonts w:eastAsia="Arial" w:cs="Arial"/>
          <w:i/>
        </w:rPr>
        <w:tab/>
      </w:r>
      <w:r>
        <w:rPr>
          <w:rFonts w:eastAsia="Arial" w:cs="Arial"/>
          <w:i/>
        </w:rPr>
        <w:fldChar w:fldCharType="begin"/>
      </w:r>
      <w:r>
        <w:rPr>
          <w:rFonts w:eastAsia="Arial" w:cs="Arial"/>
          <w:i/>
        </w:rPr>
        <w:instrText xml:space="preserve"> PAGEREF tbl_1 \h </w:instrText>
      </w:r>
      <w:r>
        <w:rPr>
          <w:rFonts w:eastAsia="Arial" w:cs="Arial"/>
          <w:i/>
        </w:rPr>
      </w:r>
      <w:r>
        <w:rPr>
          <w:rFonts w:eastAsia="Arial" w:cs="Arial"/>
          <w:i/>
        </w:rPr>
        <w:fldChar w:fldCharType="separate"/>
      </w:r>
      <w:r w:rsidR="005E7C3D">
        <w:rPr>
          <w:rFonts w:eastAsia="Arial" w:cs="Arial"/>
          <w:i/>
          <w:noProof/>
        </w:rPr>
        <w:t>36</w:t>
      </w:r>
      <w:r>
        <w:rPr>
          <w:rFonts w:eastAsia="Arial" w:cs="Arial"/>
          <w:i/>
        </w:rPr>
        <w:fldChar w:fldCharType="end"/>
      </w:r>
    </w:p>
    <w:p w14:paraId="72B36B03" w14:textId="52355F5A" w:rsidR="00D73286" w:rsidRDefault="003405A5">
      <w:pPr>
        <w:keepNext/>
        <w:tabs>
          <w:tab w:val="right" w:leader="dot" w:pos="9000"/>
        </w:tabs>
        <w:spacing w:line="240" w:lineRule="auto"/>
        <w:jc w:val="center"/>
      </w:pPr>
      <w:r>
        <w:rPr>
          <w:rFonts w:eastAsia="Arial" w:cs="Arial"/>
          <w:i/>
        </w:rPr>
        <w:t>Table 2. Confusion-matrix results on the untouched test set.</w:t>
      </w:r>
      <w:r>
        <w:rPr>
          <w:rFonts w:eastAsia="Arial" w:cs="Arial"/>
          <w:i/>
        </w:rPr>
        <w:tab/>
      </w:r>
      <w:r>
        <w:rPr>
          <w:rFonts w:eastAsia="Arial" w:cs="Arial"/>
          <w:i/>
        </w:rPr>
        <w:fldChar w:fldCharType="begin"/>
      </w:r>
      <w:r>
        <w:rPr>
          <w:rFonts w:eastAsia="Arial" w:cs="Arial"/>
          <w:i/>
        </w:rPr>
        <w:instrText xml:space="preserve"> PAGEREF tbl_2 \h </w:instrText>
      </w:r>
      <w:r>
        <w:rPr>
          <w:rFonts w:eastAsia="Arial" w:cs="Arial"/>
          <w:i/>
        </w:rPr>
      </w:r>
      <w:r>
        <w:rPr>
          <w:rFonts w:eastAsia="Arial" w:cs="Arial"/>
          <w:i/>
        </w:rPr>
        <w:fldChar w:fldCharType="separate"/>
      </w:r>
      <w:r w:rsidR="005E7C3D">
        <w:rPr>
          <w:rFonts w:eastAsia="Arial" w:cs="Arial"/>
          <w:i/>
          <w:noProof/>
        </w:rPr>
        <w:t>38</w:t>
      </w:r>
      <w:r>
        <w:rPr>
          <w:rFonts w:eastAsia="Arial" w:cs="Arial"/>
          <w:i/>
        </w:rPr>
        <w:fldChar w:fldCharType="end"/>
      </w:r>
    </w:p>
    <w:p w14:paraId="681D4567" w14:textId="2F2B1DD5" w:rsidR="00D73286" w:rsidRDefault="003405A5">
      <w:pPr>
        <w:keepNext/>
        <w:tabs>
          <w:tab w:val="right" w:leader="dot" w:pos="9000"/>
        </w:tabs>
        <w:spacing w:line="240" w:lineRule="auto"/>
        <w:jc w:val="center"/>
      </w:pPr>
      <w:r>
        <w:rPr>
          <w:rFonts w:eastAsia="Arial" w:cs="Arial"/>
          <w:i/>
        </w:rPr>
        <w:t>Table 3. Leading global Random Forest features by mean absolute SHAP value.</w:t>
      </w:r>
      <w:r>
        <w:rPr>
          <w:rFonts w:eastAsia="Arial" w:cs="Arial"/>
          <w:i/>
        </w:rPr>
        <w:tab/>
      </w:r>
      <w:r>
        <w:rPr>
          <w:rFonts w:eastAsia="Arial" w:cs="Arial"/>
          <w:i/>
        </w:rPr>
        <w:fldChar w:fldCharType="begin"/>
      </w:r>
      <w:r>
        <w:rPr>
          <w:rFonts w:eastAsia="Arial" w:cs="Arial"/>
          <w:i/>
        </w:rPr>
        <w:instrText xml:space="preserve"> PAGEREF tbl_3 \h </w:instrText>
      </w:r>
      <w:r>
        <w:rPr>
          <w:rFonts w:eastAsia="Arial" w:cs="Arial"/>
          <w:i/>
        </w:rPr>
      </w:r>
      <w:r>
        <w:rPr>
          <w:rFonts w:eastAsia="Arial" w:cs="Arial"/>
          <w:i/>
        </w:rPr>
        <w:fldChar w:fldCharType="separate"/>
      </w:r>
      <w:r w:rsidR="005E7C3D">
        <w:rPr>
          <w:rFonts w:eastAsia="Arial" w:cs="Arial"/>
          <w:i/>
          <w:noProof/>
        </w:rPr>
        <w:t>38</w:t>
      </w:r>
      <w:r>
        <w:rPr>
          <w:rFonts w:eastAsia="Arial" w:cs="Arial"/>
          <w:i/>
        </w:rPr>
        <w:fldChar w:fldCharType="end"/>
      </w:r>
    </w:p>
    <w:p w14:paraId="45FC6F3D" w14:textId="1E893B26" w:rsidR="00D73286" w:rsidRDefault="003405A5">
      <w:pPr>
        <w:keepNext/>
        <w:tabs>
          <w:tab w:val="right" w:leader="dot" w:pos="9000"/>
        </w:tabs>
        <w:spacing w:line="240" w:lineRule="auto"/>
        <w:jc w:val="center"/>
      </w:pPr>
      <w:r>
        <w:rPr>
          <w:rFonts w:eastAsia="Arial" w:cs="Arial"/>
          <w:i/>
        </w:rPr>
        <w:t>Table 4. Comparison of local SHAP and LIME explanations.</w:t>
      </w:r>
      <w:r>
        <w:rPr>
          <w:rFonts w:eastAsia="Arial" w:cs="Arial"/>
          <w:i/>
        </w:rPr>
        <w:tab/>
      </w:r>
      <w:r>
        <w:rPr>
          <w:rFonts w:eastAsia="Arial" w:cs="Arial"/>
          <w:i/>
        </w:rPr>
        <w:fldChar w:fldCharType="begin"/>
      </w:r>
      <w:r>
        <w:rPr>
          <w:rFonts w:eastAsia="Arial" w:cs="Arial"/>
          <w:i/>
        </w:rPr>
        <w:instrText xml:space="preserve"> PAGEREF tbl_4 \h </w:instrText>
      </w:r>
      <w:r>
        <w:rPr>
          <w:rFonts w:eastAsia="Arial" w:cs="Arial"/>
          <w:i/>
        </w:rPr>
      </w:r>
      <w:r>
        <w:rPr>
          <w:rFonts w:eastAsia="Arial" w:cs="Arial"/>
          <w:i/>
        </w:rPr>
        <w:fldChar w:fldCharType="separate"/>
      </w:r>
      <w:r w:rsidR="005E7C3D">
        <w:rPr>
          <w:rFonts w:eastAsia="Arial" w:cs="Arial"/>
          <w:i/>
          <w:noProof/>
        </w:rPr>
        <w:t>40</w:t>
      </w:r>
      <w:r>
        <w:rPr>
          <w:rFonts w:eastAsia="Arial" w:cs="Arial"/>
          <w:i/>
        </w:rPr>
        <w:fldChar w:fldCharType="end"/>
      </w:r>
    </w:p>
    <w:p w14:paraId="00444371" w14:textId="77777777" w:rsidR="00D73286" w:rsidRDefault="003405A5">
      <w:pPr>
        <w:pStyle w:val="Heading1"/>
      </w:pPr>
      <w:bookmarkStart w:id="5" w:name="_Toc244188201"/>
      <w:r>
        <w:rPr>
          <w:rFonts w:ascii="Arial" w:eastAsia="Arial" w:hAnsi="Arial" w:cs="Arial"/>
        </w:rPr>
        <w:t>List of Figures</w:t>
      </w:r>
      <w:bookmarkEnd w:id="5"/>
    </w:p>
    <w:p w14:paraId="55DBF614" w14:textId="7E45DAF7" w:rsidR="00D73286" w:rsidRDefault="003405A5">
      <w:pPr>
        <w:keepNext/>
        <w:tabs>
          <w:tab w:val="right" w:leader="dot" w:pos="9000"/>
        </w:tabs>
        <w:spacing w:line="240" w:lineRule="auto"/>
        <w:jc w:val="center"/>
      </w:pPr>
      <w:r>
        <w:rPr>
          <w:rFonts w:eastAsia="Arial" w:cs="Arial"/>
          <w:i/>
        </w:rPr>
        <w:t>Figure 1. XAI-first analytical workflow applied in the study.</w:t>
      </w:r>
      <w:r>
        <w:rPr>
          <w:rFonts w:eastAsia="Arial" w:cs="Arial"/>
          <w:i/>
        </w:rPr>
        <w:tab/>
      </w:r>
      <w:r>
        <w:rPr>
          <w:rFonts w:eastAsia="Arial" w:cs="Arial"/>
          <w:i/>
        </w:rPr>
        <w:fldChar w:fldCharType="begin"/>
      </w:r>
      <w:r>
        <w:rPr>
          <w:rFonts w:eastAsia="Arial" w:cs="Arial"/>
          <w:i/>
        </w:rPr>
        <w:instrText xml:space="preserve"> PAGEREF fig_1 \h </w:instrText>
      </w:r>
      <w:r>
        <w:rPr>
          <w:rFonts w:eastAsia="Arial" w:cs="Arial"/>
          <w:i/>
        </w:rPr>
      </w:r>
      <w:r>
        <w:rPr>
          <w:rFonts w:eastAsia="Arial" w:cs="Arial"/>
          <w:i/>
        </w:rPr>
        <w:fldChar w:fldCharType="separate"/>
      </w:r>
      <w:r w:rsidR="005E7C3D">
        <w:rPr>
          <w:rFonts w:eastAsia="Arial" w:cs="Arial"/>
          <w:i/>
          <w:noProof/>
        </w:rPr>
        <w:t>23</w:t>
      </w:r>
      <w:r>
        <w:rPr>
          <w:rFonts w:eastAsia="Arial" w:cs="Arial"/>
          <w:i/>
        </w:rPr>
        <w:fldChar w:fldCharType="end"/>
      </w:r>
    </w:p>
    <w:p w14:paraId="727C47AA" w14:textId="47BCEAF2" w:rsidR="00D73286" w:rsidRDefault="003405A5">
      <w:pPr>
        <w:keepNext/>
        <w:tabs>
          <w:tab w:val="right" w:leader="dot" w:pos="9000"/>
        </w:tabs>
        <w:spacing w:line="240" w:lineRule="auto"/>
        <w:jc w:val="center"/>
      </w:pPr>
      <w:r>
        <w:rPr>
          <w:rFonts w:eastAsia="Arial" w:cs="Arial"/>
          <w:i/>
        </w:rPr>
        <w:t>Figure 2. Class distribution before and after training-set resampling.</w:t>
      </w:r>
      <w:r>
        <w:rPr>
          <w:rFonts w:eastAsia="Arial" w:cs="Arial"/>
          <w:i/>
        </w:rPr>
        <w:tab/>
      </w:r>
      <w:r>
        <w:rPr>
          <w:rFonts w:eastAsia="Arial" w:cs="Arial"/>
          <w:i/>
        </w:rPr>
        <w:fldChar w:fldCharType="begin"/>
      </w:r>
      <w:r>
        <w:rPr>
          <w:rFonts w:eastAsia="Arial" w:cs="Arial"/>
          <w:i/>
        </w:rPr>
        <w:instrText xml:space="preserve"> PAGEREF fig_2 \h </w:instrText>
      </w:r>
      <w:r>
        <w:rPr>
          <w:rFonts w:eastAsia="Arial" w:cs="Arial"/>
          <w:i/>
        </w:rPr>
      </w:r>
      <w:r>
        <w:rPr>
          <w:rFonts w:eastAsia="Arial" w:cs="Arial"/>
          <w:i/>
        </w:rPr>
        <w:fldChar w:fldCharType="separate"/>
      </w:r>
      <w:r w:rsidR="005E7C3D">
        <w:rPr>
          <w:rFonts w:eastAsia="Arial" w:cs="Arial"/>
          <w:i/>
          <w:noProof/>
        </w:rPr>
        <w:t>36</w:t>
      </w:r>
      <w:r>
        <w:rPr>
          <w:rFonts w:eastAsia="Arial" w:cs="Arial"/>
          <w:i/>
        </w:rPr>
        <w:fldChar w:fldCharType="end"/>
      </w:r>
    </w:p>
    <w:p w14:paraId="24D62A4A" w14:textId="2770ABC8" w:rsidR="00D73286" w:rsidRDefault="003405A5">
      <w:pPr>
        <w:keepNext/>
        <w:tabs>
          <w:tab w:val="right" w:leader="dot" w:pos="9000"/>
        </w:tabs>
        <w:spacing w:line="240" w:lineRule="auto"/>
        <w:jc w:val="center"/>
      </w:pPr>
      <w:r>
        <w:rPr>
          <w:rFonts w:eastAsia="Arial" w:cs="Arial"/>
          <w:i/>
        </w:rPr>
        <w:t>Figure 3. Recall, F1-score and PR-AUC by model.</w:t>
      </w:r>
      <w:r>
        <w:rPr>
          <w:rFonts w:eastAsia="Arial" w:cs="Arial"/>
          <w:i/>
        </w:rPr>
        <w:tab/>
      </w:r>
      <w:r>
        <w:rPr>
          <w:rFonts w:eastAsia="Arial" w:cs="Arial"/>
          <w:i/>
        </w:rPr>
        <w:fldChar w:fldCharType="begin"/>
      </w:r>
      <w:r>
        <w:rPr>
          <w:rFonts w:eastAsia="Arial" w:cs="Arial"/>
          <w:i/>
        </w:rPr>
        <w:instrText xml:space="preserve"> PAGEREF fig_3 \h </w:instrText>
      </w:r>
      <w:r>
        <w:rPr>
          <w:rFonts w:eastAsia="Arial" w:cs="Arial"/>
          <w:i/>
        </w:rPr>
      </w:r>
      <w:r>
        <w:rPr>
          <w:rFonts w:eastAsia="Arial" w:cs="Arial"/>
          <w:i/>
        </w:rPr>
        <w:fldChar w:fldCharType="separate"/>
      </w:r>
      <w:r w:rsidR="005E7C3D">
        <w:rPr>
          <w:rFonts w:eastAsia="Arial" w:cs="Arial"/>
          <w:i/>
          <w:noProof/>
        </w:rPr>
        <w:t>37</w:t>
      </w:r>
      <w:r>
        <w:rPr>
          <w:rFonts w:eastAsia="Arial" w:cs="Arial"/>
          <w:i/>
        </w:rPr>
        <w:fldChar w:fldCharType="end"/>
      </w:r>
    </w:p>
    <w:p w14:paraId="47211127" w14:textId="0A7F0123" w:rsidR="00D73286" w:rsidRDefault="003405A5">
      <w:pPr>
        <w:keepNext/>
        <w:tabs>
          <w:tab w:val="right" w:leader="dot" w:pos="9000"/>
        </w:tabs>
        <w:spacing w:line="240" w:lineRule="auto"/>
        <w:jc w:val="center"/>
      </w:pPr>
      <w:r>
        <w:rPr>
          <w:rFonts w:eastAsia="Arial" w:cs="Arial"/>
          <w:i/>
        </w:rPr>
        <w:t>Figure 4. Global Random Forest feature importance using SHAP.</w:t>
      </w:r>
      <w:r>
        <w:rPr>
          <w:rFonts w:eastAsia="Arial" w:cs="Arial"/>
          <w:i/>
        </w:rPr>
        <w:tab/>
      </w:r>
      <w:r>
        <w:rPr>
          <w:rFonts w:eastAsia="Arial" w:cs="Arial"/>
          <w:i/>
        </w:rPr>
        <w:fldChar w:fldCharType="begin"/>
      </w:r>
      <w:r>
        <w:rPr>
          <w:rFonts w:eastAsia="Arial" w:cs="Arial"/>
          <w:i/>
        </w:rPr>
        <w:instrText xml:space="preserve"> PAGEREF fig_4 \h </w:instrText>
      </w:r>
      <w:r>
        <w:rPr>
          <w:rFonts w:eastAsia="Arial" w:cs="Arial"/>
          <w:i/>
        </w:rPr>
      </w:r>
      <w:r>
        <w:rPr>
          <w:rFonts w:eastAsia="Arial" w:cs="Arial"/>
          <w:i/>
        </w:rPr>
        <w:fldChar w:fldCharType="separate"/>
      </w:r>
      <w:r w:rsidR="005E7C3D">
        <w:rPr>
          <w:rFonts w:eastAsia="Arial" w:cs="Arial"/>
          <w:i/>
          <w:noProof/>
        </w:rPr>
        <w:t>39</w:t>
      </w:r>
      <w:r>
        <w:rPr>
          <w:rFonts w:eastAsia="Arial" w:cs="Arial"/>
          <w:i/>
        </w:rPr>
        <w:fldChar w:fldCharType="end"/>
      </w:r>
    </w:p>
    <w:p w14:paraId="5A9BEED1" w14:textId="77777777" w:rsidR="00D73286" w:rsidRDefault="003405A5">
      <w:pPr>
        <w:pStyle w:val="Heading1"/>
        <w:pageBreakBefore/>
      </w:pPr>
      <w:bookmarkStart w:id="6" w:name="_Toc244188202"/>
      <w:r>
        <w:rPr>
          <w:rFonts w:ascii="Arial" w:eastAsia="Arial" w:hAnsi="Arial" w:cs="Arial"/>
        </w:rPr>
        <w:lastRenderedPageBreak/>
        <w:t>List of Annexures</w:t>
      </w:r>
      <w:bookmarkEnd w:id="6"/>
    </w:p>
    <w:p w14:paraId="2B25A61D" w14:textId="5D7ADFA2" w:rsidR="00D73286" w:rsidRDefault="003405A5">
      <w:pPr>
        <w:tabs>
          <w:tab w:val="right" w:leader="dot" w:pos="9000"/>
        </w:tabs>
      </w:pPr>
      <w:r>
        <w:rPr>
          <w:rFonts w:eastAsia="Arial" w:cs="Arial"/>
        </w:rPr>
        <w:t>Annexure A. Signed Ethics Waiver Letter</w:t>
      </w:r>
      <w:r>
        <w:rPr>
          <w:rFonts w:eastAsia="Arial" w:cs="Arial"/>
        </w:rPr>
        <w:tab/>
      </w:r>
      <w:r>
        <w:rPr>
          <w:rFonts w:eastAsia="Arial" w:cs="Arial"/>
        </w:rPr>
        <w:fldChar w:fldCharType="begin"/>
      </w:r>
      <w:r>
        <w:rPr>
          <w:rFonts w:eastAsia="Arial" w:cs="Arial"/>
        </w:rPr>
        <w:instrText xml:space="preserve"> PAGEREF annex_a \h </w:instrText>
      </w:r>
      <w:r>
        <w:rPr>
          <w:rFonts w:eastAsia="Arial" w:cs="Arial"/>
        </w:rPr>
      </w:r>
      <w:r>
        <w:rPr>
          <w:rFonts w:eastAsia="Arial" w:cs="Arial"/>
        </w:rPr>
        <w:fldChar w:fldCharType="separate"/>
      </w:r>
      <w:r w:rsidR="005E7C3D">
        <w:rPr>
          <w:rFonts w:eastAsia="Arial" w:cs="Arial"/>
          <w:noProof/>
        </w:rPr>
        <w:t>52</w:t>
      </w:r>
      <w:r>
        <w:rPr>
          <w:rFonts w:eastAsia="Arial" w:cs="Arial"/>
        </w:rPr>
        <w:fldChar w:fldCharType="end"/>
      </w:r>
    </w:p>
    <w:p w14:paraId="5E62665F" w14:textId="77B0ECC5" w:rsidR="00D73286" w:rsidRDefault="003405A5">
      <w:pPr>
        <w:tabs>
          <w:tab w:val="right" w:leader="dot" w:pos="9000"/>
        </w:tabs>
      </w:pPr>
      <w:r>
        <w:rPr>
          <w:rFonts w:eastAsia="Arial" w:cs="Arial"/>
        </w:rPr>
        <w:t>Annexure B. AI Use Disclosure and Prompt Activity Log</w:t>
      </w:r>
      <w:r>
        <w:rPr>
          <w:rFonts w:eastAsia="Arial" w:cs="Arial"/>
        </w:rPr>
        <w:tab/>
      </w:r>
      <w:r>
        <w:rPr>
          <w:rFonts w:eastAsia="Arial" w:cs="Arial"/>
        </w:rPr>
        <w:fldChar w:fldCharType="begin"/>
      </w:r>
      <w:r>
        <w:rPr>
          <w:rFonts w:eastAsia="Arial" w:cs="Arial"/>
        </w:rPr>
        <w:instrText xml:space="preserve"> PAGEREF annex_b \h </w:instrText>
      </w:r>
      <w:r>
        <w:rPr>
          <w:rFonts w:eastAsia="Arial" w:cs="Arial"/>
        </w:rPr>
      </w:r>
      <w:r>
        <w:rPr>
          <w:rFonts w:eastAsia="Arial" w:cs="Arial"/>
        </w:rPr>
        <w:fldChar w:fldCharType="separate"/>
      </w:r>
      <w:r w:rsidR="005E7C3D">
        <w:rPr>
          <w:rFonts w:eastAsia="Arial" w:cs="Arial"/>
          <w:noProof/>
        </w:rPr>
        <w:t>54</w:t>
      </w:r>
      <w:r>
        <w:rPr>
          <w:rFonts w:eastAsia="Arial" w:cs="Arial"/>
        </w:rPr>
        <w:fldChar w:fldCharType="end"/>
      </w:r>
    </w:p>
    <w:p w14:paraId="7FFE416B" w14:textId="766E89A7" w:rsidR="00D73286" w:rsidRDefault="003405A5">
      <w:pPr>
        <w:tabs>
          <w:tab w:val="right" w:leader="dot" w:pos="9000"/>
        </w:tabs>
      </w:pPr>
      <w:r>
        <w:rPr>
          <w:rFonts w:eastAsia="Arial" w:cs="Arial"/>
        </w:rPr>
        <w:t>Annexure C. Dataset Description</w:t>
      </w:r>
      <w:r>
        <w:rPr>
          <w:rFonts w:eastAsia="Arial" w:cs="Arial"/>
        </w:rPr>
        <w:tab/>
      </w:r>
      <w:r>
        <w:rPr>
          <w:rFonts w:eastAsia="Arial" w:cs="Arial"/>
        </w:rPr>
        <w:fldChar w:fldCharType="begin"/>
      </w:r>
      <w:r>
        <w:rPr>
          <w:rFonts w:eastAsia="Arial" w:cs="Arial"/>
        </w:rPr>
        <w:instrText xml:space="preserve"> PAGEREF annex_c \h </w:instrText>
      </w:r>
      <w:r>
        <w:rPr>
          <w:rFonts w:eastAsia="Arial" w:cs="Arial"/>
        </w:rPr>
      </w:r>
      <w:r>
        <w:rPr>
          <w:rFonts w:eastAsia="Arial" w:cs="Arial"/>
        </w:rPr>
        <w:fldChar w:fldCharType="separate"/>
      </w:r>
      <w:r w:rsidR="005E7C3D">
        <w:rPr>
          <w:rFonts w:eastAsia="Arial" w:cs="Arial"/>
          <w:noProof/>
        </w:rPr>
        <w:t>56</w:t>
      </w:r>
      <w:r>
        <w:rPr>
          <w:rFonts w:eastAsia="Arial" w:cs="Arial"/>
        </w:rPr>
        <w:fldChar w:fldCharType="end"/>
      </w:r>
    </w:p>
    <w:p w14:paraId="5820B030" w14:textId="68924135" w:rsidR="00D73286" w:rsidRDefault="003405A5">
      <w:pPr>
        <w:tabs>
          <w:tab w:val="right" w:leader="dot" w:pos="9000"/>
        </w:tabs>
      </w:pPr>
      <w:r>
        <w:rPr>
          <w:rFonts w:eastAsia="Arial" w:cs="Arial"/>
        </w:rPr>
        <w:t>Annexure D. Research Artefacts Register</w:t>
      </w:r>
      <w:r>
        <w:rPr>
          <w:rFonts w:eastAsia="Arial" w:cs="Arial"/>
        </w:rPr>
        <w:tab/>
      </w:r>
      <w:r>
        <w:rPr>
          <w:rFonts w:eastAsia="Arial" w:cs="Arial"/>
        </w:rPr>
        <w:fldChar w:fldCharType="begin"/>
      </w:r>
      <w:r>
        <w:rPr>
          <w:rFonts w:eastAsia="Arial" w:cs="Arial"/>
        </w:rPr>
        <w:instrText xml:space="preserve"> PAGEREF annex_d \h </w:instrText>
      </w:r>
      <w:r>
        <w:rPr>
          <w:rFonts w:eastAsia="Arial" w:cs="Arial"/>
        </w:rPr>
      </w:r>
      <w:r>
        <w:rPr>
          <w:rFonts w:eastAsia="Arial" w:cs="Arial"/>
        </w:rPr>
        <w:fldChar w:fldCharType="separate"/>
      </w:r>
      <w:r w:rsidR="005E7C3D">
        <w:rPr>
          <w:rFonts w:eastAsia="Arial" w:cs="Arial"/>
          <w:noProof/>
        </w:rPr>
        <w:t>57</w:t>
      </w:r>
      <w:r>
        <w:rPr>
          <w:rFonts w:eastAsia="Arial" w:cs="Arial"/>
        </w:rPr>
        <w:fldChar w:fldCharType="end"/>
      </w:r>
    </w:p>
    <w:p w14:paraId="79140743" w14:textId="77777777" w:rsidR="000B6781" w:rsidRDefault="00AE213B">
      <w:pPr>
        <w:pStyle w:val="Heading1"/>
        <w:pageBreakBefore/>
      </w:pPr>
      <w:bookmarkStart w:id="7" w:name="_Toc244188203"/>
      <w:r>
        <w:rPr>
          <w:rFonts w:ascii="Arial" w:eastAsia="Arial" w:hAnsi="Arial" w:cs="Arial"/>
        </w:rPr>
        <w:lastRenderedPageBreak/>
        <w:t>Chapter 1: Introduction</w:t>
      </w:r>
      <w:bookmarkEnd w:id="7"/>
    </w:p>
    <w:p w14:paraId="10678FC7" w14:textId="77777777" w:rsidR="000B6781" w:rsidRDefault="00AE213B">
      <w:pPr>
        <w:pStyle w:val="Heading2"/>
        <w:spacing w:after="120"/>
      </w:pPr>
      <w:bookmarkStart w:id="8" w:name="_Toc244188204"/>
      <w:r>
        <w:rPr>
          <w:rFonts w:ascii="Arial" w:eastAsia="Arial" w:hAnsi="Arial" w:cs="Arial"/>
        </w:rPr>
        <w:t>1.1 Background and societal context</w:t>
      </w:r>
      <w:bookmarkEnd w:id="8"/>
    </w:p>
    <w:p w14:paraId="70037146" w14:textId="77777777" w:rsidR="000B6781" w:rsidRDefault="00AE213B">
      <w:r>
        <w:rPr>
          <w:rFonts w:eastAsia="Arial" w:cs="Arial"/>
        </w:rPr>
        <w:t>Financial fraud is both a data-analytics problem and a material societal risk. As banking services migrate to mobile applications, online platforms and card-not-present channels, financial institutions must assess rapidly changing transaction streams while maintaining customer access and regulatory accountability. Fraud harms consumers through direct financial loss, disrupted access to funds, damaged trust and the administrative burden of resolving disputed transactions. It also imposes investigation costs, reputational risk and regulatory exposure on banks. Consequently, fraud detection is not merely an exercise in maximising predictive accuracy; it is a decision-support problem in which missed fraud, false alarms, processing speed and the ability to justify a model's output must be considered together (Psychoula et al., 2021; Cherif et al., 2023; Weber, Carl and Hinz, 2024).</w:t>
      </w:r>
    </w:p>
    <w:p w14:paraId="4F1D7C2C" w14:textId="77777777" w:rsidR="000B6781" w:rsidRDefault="00AE213B">
      <w:r>
        <w:rPr>
          <w:rFonts w:eastAsia="Arial" w:cs="Arial"/>
        </w:rPr>
        <w:t>The South African context makes this problem especially urgent. SABRIC's latest comparable series shows that reported digital-banking crime cases increased from 97,547 in 2024 to 110,074 in 2025, while reported client claim amounts rose by 29.2%, from R1.863 billion to R2.407 billion. Banking App accounted for approximately 89% of reported cases and 70.5% of the total claim amount. SABRIC cautions that this does not necessarily indicate compromise of banking applications or infrastructure; much of the activity was driven by social engineering, impersonation and customer manipulation outside the banking platform (SABRIC, 2026). These trends occur within a financial sector that is expanding digital access while confronting increasingly convincing deception. The operational consequence is a highly imbalanced classification setting: fraudulent transactions are rare relative to legitimate activity, yet missed fraud can be costly, while aggressive flagging can inconvenience customers and overload investigation teams with false positives.</w:t>
      </w:r>
    </w:p>
    <w:p w14:paraId="393173A2" w14:textId="77777777" w:rsidR="000B6781" w:rsidRDefault="00AE213B">
      <w:r>
        <w:rPr>
          <w:rFonts w:eastAsia="Arial" w:cs="Arial"/>
        </w:rPr>
        <w:t xml:space="preserve">Traditional rule-based controls remain useful for known patterns, but fixed rules require continual manual maintenance and can be evaded as behaviour changes. Supervised machine-learning models offer a complementary capability because they learn statistical relationships from labelled examples and can detect combinations of attributes that are difficult to encode manually (Hastie, Tibshirani and Friedman, 2009). However, the use of increasingly complex models introduces a second problem: a high-performing prediction may not be readily understandable to an analyst, auditor, regulator or affected customer. </w:t>
      </w:r>
      <w:r>
        <w:rPr>
          <w:rFonts w:eastAsia="Arial" w:cs="Arial"/>
        </w:rPr>
        <w:lastRenderedPageBreak/>
        <w:t>This performance-interpretability tension is central to responsible fraud analytics (Lundberg and Lee, 2017; Psychoula et al., 2021).</w:t>
      </w:r>
    </w:p>
    <w:p w14:paraId="392DEAEA" w14:textId="77777777" w:rsidR="0070366D" w:rsidRDefault="00DF4816">
      <w:r>
        <w:rPr>
          <w:rFonts w:eastAsia="Arial" w:cs="Arial"/>
        </w:rPr>
        <w:t>Fraud detection is best understood as a decision system rather than a stand-alone classification exercise. A transaction score affects whether a payment proceeds, whether an alert enters an investigation queue, and whether a customer is asked to complete an additional verification step. Each action carries a different cost. A missed fraud case may create a direct financial loss and expose further account activity, whereas an unnecessary intervention may delay a legitimate payment and increase service demand. The usefulness of a model therefore depends on how its errors interact with operational processes. Bolton and Hand (2002) describe fraud detection as an adaptive problem in which unusual behaviour must be identified against a much larger volume of normal activity. That framing remains relevant because digital payment channels increase both transaction volume and the speed at which decisions must be made.</w:t>
      </w:r>
    </w:p>
    <w:p w14:paraId="3199DD6A" w14:textId="77777777" w:rsidR="0070366D" w:rsidRDefault="00DF4816">
      <w:r>
        <w:rPr>
          <w:rFonts w:eastAsia="Arial" w:cs="Arial"/>
        </w:rPr>
        <w:t>The class distribution intensifies this operational problem. In the benchmark dataset, fraudulent transactions account for only 0.172% of observations. A classifier can consequently appear accurate while failing to identify the minority class that matters. The analytical task is to find a workable balance among precision, recall and investigation workload, rather than to maximise a single headline score. Cherif et al. (2023) identify class imbalance, feature engineering and the selection of suitable learning methods as recurring issues across recent credit-card fraud research. In practice, those issues are linked: resampling changes what the model learns, the decision threshold changes how many alerts it generates, and the evaluation metric determines which trade-off appears favourable. The present study treats these choices as part of one controlled analytical design.</w:t>
      </w:r>
    </w:p>
    <w:p w14:paraId="76CFED24" w14:textId="77777777" w:rsidR="000B6781" w:rsidRDefault="00AE213B">
      <w:pPr>
        <w:pStyle w:val="Heading2"/>
        <w:spacing w:after="120"/>
      </w:pPr>
      <w:bookmarkStart w:id="9" w:name="_Toc244188205"/>
      <w:r>
        <w:rPr>
          <w:rFonts w:ascii="Arial" w:eastAsia="Arial" w:hAnsi="Arial" w:cs="Arial"/>
        </w:rPr>
        <w:t>1.2 Regulatory and industry context</w:t>
      </w:r>
      <w:bookmarkEnd w:id="9"/>
    </w:p>
    <w:p w14:paraId="21C982C7" w14:textId="77777777" w:rsidR="000B6781" w:rsidRDefault="00AE213B">
      <w:r>
        <w:rPr>
          <w:rFonts w:eastAsia="Arial" w:cs="Arial"/>
        </w:rPr>
        <w:t xml:space="preserve">South African institutions processing personal information are subject to the Protection of Personal Information Act 4 of 2013 (POPIA). Section 71 addresses decisions that have legal or substantial effects and are based solely on automated processing intended to profile a person. The section does not create a simple rule that every algorithm must be fully transparent; rather, it establishes safeguards and a basis for representations where solely automated decisions materially affect a data subject (Republic of South Africa, 2013). For fraud detection, this strengthens the case for human oversight, traceable model governance and explanations that are meaningful to operational users. The present study does not process identifiable South African customer data or make live decisions. POPIA </w:t>
      </w:r>
      <w:r>
        <w:rPr>
          <w:rFonts w:eastAsia="Arial" w:cs="Arial"/>
        </w:rPr>
        <w:lastRenderedPageBreak/>
        <w:t>is therefore used as a contextual governance framework rather than as a claim that the experimental dataset itself falls within a live bank's compliance process.</w:t>
      </w:r>
    </w:p>
    <w:p w14:paraId="4AAADA25" w14:textId="77777777" w:rsidR="000B6781" w:rsidRDefault="00AE213B">
      <w:r>
        <w:rPr>
          <w:rFonts w:eastAsia="Arial" w:cs="Arial"/>
        </w:rPr>
        <w:t>Explainable artificial intelligence (XAI) provides techniques for examining how input features influence model outputs. SHAP derives additive feature attributions from Shapley-value principles and offers both global summaries and local explanations (Lundberg and Lee, 2017). LIME fits a simpler surrogate model around an individual prediction to approximate local decision behaviour (Ribeiro, Singh and Guestrin, 2016). Fraud-detection research shows that such explanations can support analyst understanding, model debugging and auditability, but explanation quality must itself be examined rather than assumed (Psychoula et al., 2021).</w:t>
      </w:r>
    </w:p>
    <w:p w14:paraId="177F8CB8" w14:textId="77777777" w:rsidR="0070366D" w:rsidRDefault="00DF4816">
      <w:r>
        <w:rPr>
          <w:rFonts w:eastAsia="Arial" w:cs="Arial"/>
        </w:rPr>
        <w:t>The governance question extends beyond whether a model can produce an explanation. An institution must also establish who receives the explanation, what decision it supports and whether the explanation is sufficiently stable for that purpose. A data scientist may need feature-level diagnostics to identify leakage or drift; a fraud analyst may need a short account of why a case was prioritised; and a customer-facing process may require reasons that are meaningful without exposing detection controls. Weber, Carl and Hinz (2024) found that finance research uses both inherently transparent models and post-hoc explanation methods, with a growing preference for post-hoc approaches. That trend makes validation important because a plausible explanation can still be incomplete or locally unstable. POPIA provides the legal context for automated processing, but accountable deployment also requires documented thresholds, human escalation routes and evidence that explanations are used appropriately rather than treated as automatic proof.</w:t>
      </w:r>
    </w:p>
    <w:p w14:paraId="13462911" w14:textId="77777777" w:rsidR="000B6781" w:rsidRDefault="00AE213B">
      <w:pPr>
        <w:pStyle w:val="Heading2"/>
        <w:spacing w:after="120"/>
      </w:pPr>
      <w:bookmarkStart w:id="10" w:name="_Toc244188206"/>
      <w:r>
        <w:rPr>
          <w:rFonts w:ascii="Arial" w:eastAsia="Arial" w:hAnsi="Arial" w:cs="Arial"/>
        </w:rPr>
        <w:t>1.3 Research problem</w:t>
      </w:r>
      <w:bookmarkEnd w:id="10"/>
    </w:p>
    <w:p w14:paraId="05A229D3" w14:textId="77777777" w:rsidR="000B6781" w:rsidRDefault="00AE213B">
      <w:r>
        <w:rPr>
          <w:rFonts w:eastAsia="Arial" w:cs="Arial"/>
        </w:rPr>
        <w:t xml:space="preserve">Recent fraud-detection research reports strong results across logistic regression, decision trees, random forests, support vector machines, nearest-neighbour methods, gradient boosting and deep learning, but no classifier is consistently superior across datasets and experimental designs (Cherif et al., 2023; Nobel et al., 2024). Direct comparison is difficult because studies use different sampling strategies, validation procedures, thresholds and metrics. Accuracy can be particularly misleading when the positive class is extremely rare: a model can classify almost all transactions as legitimate and still appear accurate. Precision, recall, F1-score, receiver-operating-characteristic area under the curve (ROC-AUC) and precision-recall area under the curve (PR-AUC) therefore provide </w:t>
      </w:r>
      <w:r>
        <w:rPr>
          <w:rFonts w:eastAsia="Arial" w:cs="Arial"/>
        </w:rPr>
        <w:lastRenderedPageBreak/>
        <w:t>complementary evidence, with PR-AUC particularly useful for rare positive classes (Saito and Rehmsmeier, 2015; Cherif et al., 2023).</w:t>
      </w:r>
    </w:p>
    <w:p w14:paraId="392B436B" w14:textId="77777777" w:rsidR="000B6781" w:rsidRDefault="00AE213B">
      <w:r>
        <w:rPr>
          <w:rFonts w:eastAsia="Arial" w:cs="Arial"/>
        </w:rPr>
        <w:t>A second gap concerns explainability. Financial XAI research increasingly uses post-hoc methods, yet explanation quality, stability and usefulness are often evaluated less rigorously than predictive performance (Weber, Carl and Hinz, 2024; Zafar and Wu, 2026). Selecting a model only on predictive performance and explaining it afterwards can therefore produce outputs that are unstable or difficult to communicate. This study used an XAI-first comparative framework in which predictive performance and explanation evidence were linked evaluation dimensions. Five approved classifiers were evaluated under one leakage-safe pipeline, after which SHAP and LIME were applied to Random Forest as the strongest model. The results were interpreted cautiously in relation to South African fraud risks and POPIA-informed governance, without claiming that a historical European dataset represents current South African transaction behaviour.</w:t>
      </w:r>
    </w:p>
    <w:p w14:paraId="4BC62973" w14:textId="77777777" w:rsidR="0070366D" w:rsidRDefault="00DF4816">
      <w:r>
        <w:rPr>
          <w:rFonts w:eastAsia="Arial" w:cs="Arial"/>
        </w:rPr>
        <w:t>The central research problem therefore contains three connected gaps. The first is comparative: model performance must be assessed under the same split, preprocessing rules and untouched test data. The second is explanatory: a strong classifier must be examined at both global and individual-case levels, and the consistency of different explanation methods must be considered. The third is contextual: findings from historical European transactions cannot be transferred directly to South African banking operations. Much published work addresses one or two of these issues, but fewer studies connect all three within one reproducible workflow. The result is a gap between experimental model rankings and the evidence a financial institution would require before using a model in a controlled decision process. This study addresses that gap as a methodological benchmark, not as a claim of deployment readiness.</w:t>
      </w:r>
    </w:p>
    <w:p w14:paraId="0C3108DB" w14:textId="77777777" w:rsidR="000B6781" w:rsidRDefault="00AE213B">
      <w:pPr>
        <w:pStyle w:val="Heading2"/>
        <w:spacing w:after="120"/>
      </w:pPr>
      <w:bookmarkStart w:id="11" w:name="_Toc244188207"/>
      <w:r>
        <w:rPr>
          <w:rFonts w:ascii="Arial" w:eastAsia="Arial" w:hAnsi="Arial" w:cs="Arial"/>
        </w:rPr>
        <w:t>1.4 Problem statement</w:t>
      </w:r>
      <w:bookmarkEnd w:id="11"/>
    </w:p>
    <w:p w14:paraId="502D787F" w14:textId="77777777" w:rsidR="000B6781" w:rsidRDefault="00AE213B">
      <w:r>
        <w:rPr>
          <w:rFonts w:eastAsia="Arial" w:cs="Arial"/>
        </w:rPr>
        <w:t xml:space="preserve">South African financial institutions require fraud-detection models that identify rare fraudulent transactions while limiting false alarms and supporting accountable review. The literature does not provide a consistent answer about which commonly used classifier performs best under controlled and reproducible conditions, and high-performing models may be difficult to explain. The challenge is compounded by severe class imbalance, the risk of preprocessing leakage, variation in evaluation metrics and the limited availability of public South African transaction data. This study responded by comparing five machine-learning classifiers on one anonymised benchmark dataset using a consistent pipeline, then evaluating the decision logic of Random Forest with SHAP and LIME. The resulting </w:t>
      </w:r>
      <w:r>
        <w:rPr>
          <w:rFonts w:eastAsia="Arial" w:cs="Arial"/>
        </w:rPr>
        <w:lastRenderedPageBreak/>
        <w:t>evidence was contextualised for South African practice and POPIA-informed governance while explicitly recognising the dataset's geographic, temporal and semantic limitations.</w:t>
      </w:r>
    </w:p>
    <w:p w14:paraId="7B749027" w14:textId="77777777" w:rsidR="000B6781" w:rsidRDefault="00AE213B">
      <w:pPr>
        <w:pStyle w:val="Heading2"/>
        <w:spacing w:after="120"/>
      </w:pPr>
      <w:bookmarkStart w:id="12" w:name="_Toc244188208"/>
      <w:r>
        <w:rPr>
          <w:rFonts w:ascii="Arial" w:eastAsia="Arial" w:hAnsi="Arial" w:cs="Arial"/>
        </w:rPr>
        <w:t>1.5 Research aim, questions and objectives</w:t>
      </w:r>
      <w:bookmarkEnd w:id="12"/>
    </w:p>
    <w:p w14:paraId="41CB1736" w14:textId="77777777" w:rsidR="000B6781" w:rsidRDefault="00AE213B">
      <w:r>
        <w:rPr>
          <w:rFonts w:eastAsia="Arial" w:cs="Arial"/>
        </w:rPr>
        <w:t>The aim is to evaluate the predictive performance and explainability of selected machine-learning classifiers for highly imbalanced financial-fraud detection and to interpret the implications for South African financial institutions.</w:t>
      </w:r>
    </w:p>
    <w:p w14:paraId="274653F3" w14:textId="77777777" w:rsidR="000B6781" w:rsidRDefault="00AE213B">
      <w:r>
        <w:rPr>
          <w:rFonts w:eastAsia="Arial" w:cs="Arial"/>
        </w:rPr>
        <w:t>Primary research question: How do selected machine-learning algorithms compare in detecting fraudulent financial transactions, and how can their predictions be explained in a manner relevant to the South African financial sector?</w:t>
      </w:r>
    </w:p>
    <w:p w14:paraId="500F693E" w14:textId="77777777" w:rsidR="000B6781" w:rsidRDefault="00AE213B">
      <w:pPr>
        <w:pStyle w:val="ListBullet"/>
        <w:ind w:left="540" w:hanging="279"/>
      </w:pPr>
      <w:r>
        <w:rPr>
          <w:rFonts w:eastAsia="Arial" w:cs="Arial"/>
        </w:rPr>
        <w:t>RQ1: How do Logistic Regression, Decision Tree, Random Forest, Support Vector Machine and k-Nearest Neighbours compare across precision, recall, F1-score, ROC-AUC and PR-AUC on the Kaggle Credit Card Fraud Detection dataset?</w:t>
      </w:r>
    </w:p>
    <w:p w14:paraId="7A4552CD" w14:textId="77777777" w:rsidR="000B6781" w:rsidRDefault="00AE213B">
      <w:pPr>
        <w:pStyle w:val="ListBullet"/>
        <w:ind w:left="540" w:hanging="279"/>
      </w:pPr>
      <w:r>
        <w:rPr>
          <w:rFonts w:eastAsia="Arial" w:cs="Arial"/>
        </w:rPr>
        <w:t>RQ2: Which features drive the best-performing model's global and individual fraud predictions according to SHAP and LIME, and how consistent are the resulting explanations?</w:t>
      </w:r>
    </w:p>
    <w:p w14:paraId="50867629" w14:textId="77777777" w:rsidR="000B6781" w:rsidRDefault="00AE213B">
      <w:pPr>
        <w:pStyle w:val="ListBullet"/>
        <w:ind w:left="540" w:hanging="279"/>
      </w:pPr>
      <w:r>
        <w:rPr>
          <w:rFonts w:eastAsia="Arial" w:cs="Arial"/>
        </w:rPr>
        <w:t>RQ3: What do the performance and explanation findings imply for fraud-analytics practice and POPIA-informed model governance in South African financial institutions, subject to the limitations of the dataset?</w:t>
      </w:r>
    </w:p>
    <w:p w14:paraId="516FEE1E" w14:textId="77777777" w:rsidR="000B6781" w:rsidRDefault="00AE213B">
      <w:pPr>
        <w:pStyle w:val="ListBullet"/>
        <w:ind w:left="540" w:hanging="279"/>
      </w:pPr>
      <w:r>
        <w:rPr>
          <w:rFonts w:eastAsia="Arial" w:cs="Arial"/>
        </w:rPr>
        <w:t>RO1: Develop and compare the five approved classifiers through one reproducible, leakage-safe pipeline for an extremely imbalanced transaction dataset.</w:t>
      </w:r>
    </w:p>
    <w:p w14:paraId="4E0ECBF7" w14:textId="77777777" w:rsidR="000B6781" w:rsidRDefault="00AE213B">
      <w:pPr>
        <w:pStyle w:val="ListBullet"/>
        <w:ind w:left="540" w:hanging="279"/>
      </w:pPr>
      <w:r>
        <w:rPr>
          <w:rFonts w:eastAsia="Arial" w:cs="Arial"/>
        </w:rPr>
        <w:t>RO2: Apply SHAP and LIME to the strongest model or models to identify influential features, generate local explanations and assess explanation agreement and stability.</w:t>
      </w:r>
    </w:p>
    <w:p w14:paraId="28B39F1E" w14:textId="77777777" w:rsidR="000B6781" w:rsidRDefault="00AE213B">
      <w:pPr>
        <w:pStyle w:val="ListBullet"/>
        <w:ind w:left="540" w:hanging="279"/>
      </w:pPr>
      <w:r>
        <w:rPr>
          <w:rFonts w:eastAsia="Arial" w:cs="Arial"/>
        </w:rPr>
        <w:t>RO3: Interpret the experimental findings in relation to SABRIC-reported fraud risks, operational error trade-offs and POPIA-informed governance without overstating local generalisability.</w:t>
      </w:r>
    </w:p>
    <w:p w14:paraId="0DEC1A51" w14:textId="77777777" w:rsidR="000B6781" w:rsidRDefault="00AE213B">
      <w:pPr>
        <w:pStyle w:val="Heading2"/>
        <w:spacing w:after="120"/>
      </w:pPr>
      <w:bookmarkStart w:id="13" w:name="_Toc244188209"/>
      <w:r>
        <w:rPr>
          <w:rFonts w:ascii="Arial" w:eastAsia="Arial" w:hAnsi="Arial" w:cs="Arial"/>
        </w:rPr>
        <w:t>1.6 Hypotheses and alignment</w:t>
      </w:r>
      <w:bookmarkEnd w:id="13"/>
    </w:p>
    <w:p w14:paraId="35BA55CA" w14:textId="77777777" w:rsidR="000B6781" w:rsidRDefault="00AE213B">
      <w:pPr>
        <w:pStyle w:val="ListBullet"/>
        <w:ind w:left="540" w:hanging="279"/>
      </w:pPr>
      <w:r>
        <w:rPr>
          <w:rFonts w:eastAsia="Arial" w:cs="Arial"/>
        </w:rPr>
        <w:t>H1 (RQ1 - comparative performance): Random Forest will achieve the highest combined F1-score and PR-AUC among Logistic Regression, Decision Tree, Random Forest, linear SVM and k-NN under the same test conditions.</w:t>
      </w:r>
    </w:p>
    <w:p w14:paraId="487A0158" w14:textId="77777777" w:rsidR="000B6781" w:rsidRDefault="00AE213B">
      <w:pPr>
        <w:pStyle w:val="ListBullet"/>
        <w:ind w:left="540" w:hanging="279"/>
      </w:pPr>
      <w:r>
        <w:rPr>
          <w:rFonts w:eastAsia="Arial" w:cs="Arial"/>
        </w:rPr>
        <w:t>H2 (RQ2 - explanation consistency): SHAP and LIME will identify overlapping influential features for individual predictions, although the level of agreement and LIME stability will vary across correctly and incorrectly classified cases.</w:t>
      </w:r>
    </w:p>
    <w:p w14:paraId="0B927A71" w14:textId="77777777" w:rsidR="000B6781" w:rsidRDefault="00AE213B">
      <w:pPr>
        <w:pStyle w:val="ListBullet"/>
        <w:ind w:left="540" w:hanging="279"/>
      </w:pPr>
      <w:r>
        <w:rPr>
          <w:rFonts w:eastAsia="Arial" w:cs="Arial"/>
        </w:rPr>
        <w:lastRenderedPageBreak/>
        <w:t>H3 (RQ3 - South African governance implications): A fraud-model selection approach that combines imbalance-sensitive performance measures with complementary explanations will provide more defensible decision support for South African financial institutions than accuracy-only selection, subject to local validation, human oversight and POPIA-informed governance.</w:t>
      </w:r>
    </w:p>
    <w:p w14:paraId="0D7002FE" w14:textId="77777777" w:rsidR="000B6781" w:rsidRDefault="00AE213B">
      <w:r>
        <w:rPr>
          <w:rFonts w:eastAsia="Arial" w:cs="Arial"/>
        </w:rPr>
        <w:t>H1 is aligned with RQ1 and RO1; H2 is aligned with RQ2 and RO2; and H3 is aligned with RQ3 and RO3. H1 and H2 are evaluated through the experimental performance and explanation results. H3 is evaluated as a bounded governance proposition through the synthesis of those results with the South African fraud context, dataset limitations and POPIA-informed requirements.</w:t>
      </w:r>
    </w:p>
    <w:p w14:paraId="1D2F77C2" w14:textId="77777777" w:rsidR="000B6781" w:rsidRDefault="00AE213B">
      <w:pPr>
        <w:pStyle w:val="Heading2"/>
        <w:spacing w:after="120"/>
      </w:pPr>
      <w:bookmarkStart w:id="14" w:name="_Toc244188210"/>
      <w:r>
        <w:rPr>
          <w:rFonts w:ascii="Arial" w:eastAsia="Arial" w:hAnsi="Arial" w:cs="Arial"/>
        </w:rPr>
        <w:t>1.7 Significance and anticipated contribution</w:t>
      </w:r>
      <w:bookmarkEnd w:id="14"/>
    </w:p>
    <w:p w14:paraId="41120AC5" w14:textId="77777777" w:rsidR="000B6781" w:rsidRDefault="00AE213B">
      <w:r>
        <w:rPr>
          <w:rFonts w:eastAsia="Arial" w:cs="Arial"/>
        </w:rPr>
        <w:t>Academically, the study provided a controlled benchmark in which five algorithm families were evaluated on the same split, preprocessing pipeline, fixed configurations and metrics. It also compared SHAP and LIME on the same selected model, adding explanation agreement and repeated local stability to the usual performance discussion. Methodologically, the research demonstrated how train-only scaling, majority-class sampling and SMOTE can reduce leakage risk, and why PR-AUC should complement ROC-AUC in an extremely imbalanced setting.</w:t>
      </w:r>
    </w:p>
    <w:p w14:paraId="6C33F15E" w14:textId="77777777" w:rsidR="000B6781" w:rsidRDefault="00AE213B">
      <w:r>
        <w:rPr>
          <w:rFonts w:eastAsia="Arial" w:cs="Arial"/>
        </w:rPr>
        <w:t>Practically, the study produced a reproducible script-based workflow, model-comparison and confusion-matrix tables, error-trade-off evidence, global feature-attribution summaries and case-level explanations. These outputs can inform how South African fraud teams assess candidate models and communicate model behaviour. The contribution is guidance rather than a deployable local fraud engine: the dataset is historical, European and PCA-transformed. For the community, the long-term value lies in supporting fraud controls that aspire to reduce missed fraud without unnecessarily blocking legitimate transactions, while preserving human review and transparent governance.</w:t>
      </w:r>
    </w:p>
    <w:p w14:paraId="1FBFA022" w14:textId="77777777" w:rsidR="000B6781" w:rsidRDefault="00AE213B">
      <w:pPr>
        <w:pStyle w:val="Heading2"/>
        <w:spacing w:after="120"/>
      </w:pPr>
      <w:bookmarkStart w:id="15" w:name="_Toc244188211"/>
      <w:r>
        <w:rPr>
          <w:rFonts w:ascii="Arial" w:eastAsia="Arial" w:hAnsi="Arial" w:cs="Arial"/>
        </w:rPr>
        <w:t>1.8 Scope and delimitations</w:t>
      </w:r>
      <w:bookmarkEnd w:id="15"/>
    </w:p>
    <w:p w14:paraId="156EEAEE" w14:textId="77777777" w:rsidR="000B6781" w:rsidRDefault="00AE213B">
      <w:r>
        <w:rPr>
          <w:rFonts w:eastAsia="Arial" w:cs="Arial"/>
        </w:rPr>
        <w:t xml:space="preserve">The empirical scope is limited to the public Kaggle Credit Card Fraud Detection dataset and five approved supervised classifiers. XGBoost, LightGBM, neural networks and anomaly-detection methods are reviewed as relevant alternatives but are not added to the experiment unless the supervisor confirms that doing so does not constitute a material methodology change. The study evaluates methodological performance, not current South African fraud prevalence. SHAP and LIME explanations relate to anonymised components </w:t>
      </w:r>
      <w:r>
        <w:rPr>
          <w:rFonts w:eastAsia="Arial" w:cs="Arial"/>
        </w:rPr>
        <w:lastRenderedPageBreak/>
        <w:t>V1-V28 plus Time and Amount; they cannot recover the original business meaning of PCA-transformed variables.</w:t>
      </w:r>
    </w:p>
    <w:p w14:paraId="5B37773D" w14:textId="77777777" w:rsidR="000B6781" w:rsidRDefault="00AE213B">
      <w:pPr>
        <w:pStyle w:val="Heading2"/>
        <w:spacing w:after="120"/>
      </w:pPr>
      <w:bookmarkStart w:id="16" w:name="_Toc244188212"/>
      <w:r>
        <w:rPr>
          <w:rFonts w:ascii="Arial" w:eastAsia="Arial" w:hAnsi="Arial" w:cs="Arial"/>
        </w:rPr>
        <w:t>1.9 Chapter summary</w:t>
      </w:r>
      <w:bookmarkEnd w:id="16"/>
    </w:p>
    <w:p w14:paraId="79E643A3" w14:textId="77777777" w:rsidR="000B6781" w:rsidRDefault="00AE213B">
      <w:pPr>
        <w:keepLines/>
      </w:pPr>
      <w:r>
        <w:rPr>
          <w:rFonts w:eastAsia="Arial" w:cs="Arial"/>
        </w:rPr>
        <w:t>Chapter 1 established the societal, operational and regulatory context; defined the linked performance and explainability problem; and aligned the questions, objectives and hypotheses. Chapter 2 critically synthesises fraud-detection, imbalanced-learning and XAI literature. Chapter 3 specifies the reproducible research design.</w:t>
      </w:r>
    </w:p>
    <w:p w14:paraId="11BDB450" w14:textId="77777777" w:rsidR="000B6781" w:rsidRDefault="00AE213B">
      <w:r>
        <w:rPr>
          <w:rFonts w:eastAsia="Arial" w:cs="Arial"/>
        </w:rPr>
        <w:br w:type="page"/>
      </w:r>
    </w:p>
    <w:p w14:paraId="35BB0A59" w14:textId="77777777" w:rsidR="000B6781" w:rsidRDefault="00AE213B">
      <w:pPr>
        <w:pStyle w:val="Heading1"/>
      </w:pPr>
      <w:bookmarkStart w:id="17" w:name="_Toc244188213"/>
      <w:r>
        <w:rPr>
          <w:rFonts w:ascii="Arial" w:eastAsia="Arial" w:hAnsi="Arial" w:cs="Arial"/>
        </w:rPr>
        <w:lastRenderedPageBreak/>
        <w:t>Chapter 2: Literature Review</w:t>
      </w:r>
      <w:bookmarkEnd w:id="17"/>
    </w:p>
    <w:p w14:paraId="6388D564" w14:textId="77777777" w:rsidR="000B6781" w:rsidRDefault="00AE213B">
      <w:pPr>
        <w:pStyle w:val="Heading2"/>
        <w:spacing w:after="120"/>
      </w:pPr>
      <w:bookmarkStart w:id="18" w:name="_Toc244188214"/>
      <w:r>
        <w:rPr>
          <w:rFonts w:ascii="Arial" w:eastAsia="Arial" w:hAnsi="Arial" w:cs="Arial"/>
        </w:rPr>
        <w:t>2.1 Review scope and alignment with the research questions</w:t>
      </w:r>
      <w:bookmarkEnd w:id="18"/>
    </w:p>
    <w:p w14:paraId="136F4E19" w14:textId="77777777" w:rsidR="000B6781" w:rsidRDefault="00AE213B">
      <w:r>
        <w:rPr>
          <w:rFonts w:eastAsia="Arial" w:cs="Arial"/>
        </w:rPr>
        <w:t>The literature review is structured directly around the three research questions. Section 2.2 addresses RQ1 by reviewing classifier families, class imbalance, leakage and performance metrics. Section 2.3 addresses RQ2 by examining SHAP, LIME and the reliability of post-hoc explanations. Section 2.4 addresses RQ3 by considering South African applicability and POPIA-informed governance. Seminal sources are retained where they define a method, while recent peer-reviewed reviews and fraud studies provide current empirical context (Cherif et al., 2023; Weber, Carl and Hinz, 2024; Zafar and Wu, 2026). This structure creates a traceable line from the literature to the results and discussion in Chapter 4.</w:t>
      </w:r>
    </w:p>
    <w:p w14:paraId="3013D6B8" w14:textId="77777777" w:rsidR="000B6781" w:rsidRDefault="00AE213B">
      <w:pPr>
        <w:pStyle w:val="Heading2"/>
        <w:spacing w:after="120"/>
      </w:pPr>
      <w:bookmarkStart w:id="19" w:name="_Toc244188215"/>
      <w:r>
        <w:rPr>
          <w:rFonts w:ascii="Arial" w:eastAsia="Arial" w:hAnsi="Arial" w:cs="Arial"/>
        </w:rPr>
        <w:t>2.2 Literature addressing RQ1: comparative model performance</w:t>
      </w:r>
      <w:bookmarkEnd w:id="19"/>
    </w:p>
    <w:p w14:paraId="04212F2F" w14:textId="77777777" w:rsidR="000B6781" w:rsidRDefault="00AE213B">
      <w:r>
        <w:rPr>
          <w:rFonts w:eastAsia="Arial" w:cs="Arial"/>
        </w:rPr>
        <w:t>Fraud detection has evolved from manual investigation and expert rules toward statistical and machine-learning systems. Rules remain interpretable and useful for known typologies, but changing behaviour and large alert volumes limit fixed controls. Contemporary reviews still characterise fraud as rare, adaptive and costly to misclassify; they emphasise concept drift, class imbalance and unequal error consequences as central evaluation problems (Cherif et al., 2023). RQ1 must therefore compare models under one controlled design and report the consequences of both missed fraud and false alarms rather than treating fraud as an ordinary balanced classification task.</w:t>
      </w:r>
    </w:p>
    <w:p w14:paraId="081BC57E" w14:textId="77777777" w:rsidR="000B6781" w:rsidRDefault="00AE213B">
      <w:r>
        <w:rPr>
          <w:rFonts w:eastAsia="Arial" w:cs="Arial"/>
        </w:rPr>
        <w:t>Supervised learning is appropriate when reliable historical labels exist. Logistic Regression provides a transparent probabilistic baseline; Decision Trees provide explicit rules but may overfit; Random Forest reduces single-tree variance through aggregation; SVM models complex margins; and k-NN classifies through local similarity (Hastie, Tibshirani and Friedman, 2009). Recent comparative work continues to show strong ensemble performance on imbalanced banking data, while also showing that sampling choices and evaluation criteria can change rankings (Khalid et al., 2024; Nobel et al., 2024). The five approved models intentionally span linear, tree, ensemble, margin-based and instance-based families so that RQ1 compares materially different inductive approaches under identical conditions.</w:t>
      </w:r>
    </w:p>
    <w:p w14:paraId="2C7414B8" w14:textId="77777777" w:rsidR="0070366D" w:rsidRDefault="00DF4816">
      <w:r>
        <w:rPr>
          <w:rFonts w:eastAsia="Arial" w:cs="Arial"/>
        </w:rPr>
        <w:t xml:space="preserve">The five selected classifiers represent different assumptions about the structure of the decision boundary. Logistic Regression estimates a linear relationship between predictors and the log-odds of the target class. Its coefficients and probabilistic output make it a useful baseline, but a linear boundary may be too restrictive when fraudulent behaviour </w:t>
      </w:r>
      <w:r>
        <w:rPr>
          <w:rFonts w:eastAsia="Arial" w:cs="Arial"/>
        </w:rPr>
        <w:lastRenderedPageBreak/>
        <w:t>depends on interactions among transformed variables. A linear Support Vector Machine also constructs a linear separator, although its optimisation focuses on the margin between classes. k-Nearest Neighbours makes fewer assumptions about the global functional form and classifies observations according to local proximity, but its behaviour can be sensitive to scaling, neighbourhood size and sparse minority examples. A Decision Tree represents non-linear rules directly, yet a single tree may vary substantially when the training sample changes. These differences justify comparison under a shared experimental protocol rather than assuming that one model family is inherently superior (Hastie, Tibshirani and Friedman, 2009).</w:t>
      </w:r>
    </w:p>
    <w:p w14:paraId="7C4B952E" w14:textId="77777777" w:rsidR="0070366D" w:rsidRDefault="00DF4816">
      <w:r>
        <w:rPr>
          <w:rFonts w:eastAsia="Arial" w:cs="Arial"/>
        </w:rPr>
        <w:t>Random Forest addresses some instability of individual trees by fitting many trees to resampled data and aggregating their predictions. The resulting ensemble can capture interactions without requiring the analyst to specify them in advance. Ensemble performance remains conditional on the data, sampling procedure and evaluation target. Khalid et al. (2024) report that ensemble approaches can improve fraud detection and discuss imbalance, concept drift, false positives and generalisability as persistent limitations. Nobel et al. (2024) likewise show that an ensemble learner can perform strongly on imbalanced banking data when combined with SMOTE and post-hoc explanation. These studies support the inclusion of an ensemble model but do not establish that it will dominate every dataset or cost setting. The present comparison therefore uses identical train-test partitions and reports several complementary metrics.</w:t>
      </w:r>
    </w:p>
    <w:p w14:paraId="7AA70AB5" w14:textId="77777777" w:rsidR="000B6781" w:rsidRDefault="00AE213B">
      <w:pPr>
        <w:pStyle w:val="Heading2"/>
        <w:spacing w:after="120"/>
      </w:pPr>
      <w:bookmarkStart w:id="20" w:name="_Toc244188216"/>
      <w:r>
        <w:rPr>
          <w:rFonts w:ascii="Arial" w:eastAsia="Arial" w:hAnsi="Arial" w:cs="Arial"/>
        </w:rPr>
        <w:t>2.2.1 Conditional performance and the no-universal-best problem</w:t>
      </w:r>
      <w:bookmarkEnd w:id="20"/>
    </w:p>
    <w:p w14:paraId="7552AB7A" w14:textId="77777777" w:rsidR="000B6781" w:rsidRDefault="00AE213B">
      <w:r>
        <w:rPr>
          <w:rFonts w:eastAsia="Arial" w:cs="Arial"/>
        </w:rPr>
        <w:t>Published evidence does not identify a universally superior fraud classifier. Systematic reviews find that reported performance depends on the dataset, preprocessing, sampling, hyperparameters, threshold and metric, which makes headline rankings across studies unreliable (Cherif et al., 2023). Ensemble models often perform strongly because they capture nonlinear interactions and reduce variance, yet a high-recall model can create excessive false alarms while a high-precision model can miss costly fraud. The relevant gap for RQ1 is therefore a transparent, same-data comparison with explicit error trade-offs, not another isolated accuracy score.</w:t>
      </w:r>
    </w:p>
    <w:p w14:paraId="7F894C8B" w14:textId="77777777" w:rsidR="000B6781" w:rsidRDefault="00AE213B">
      <w:r>
        <w:rPr>
          <w:rFonts w:eastAsia="Arial" w:cs="Arial"/>
        </w:rPr>
        <w:t xml:space="preserve">The five-model design operationalises that gap. Logistic Regression establishes an interpretable baseline; a single Decision Tree tests simple nonlinear rules; Random Forest tests the hypothesised ensemble advantage; SVM assesses margin-based classification; and k-NN tests local similarity in the scaled feature space. Gradient boosting and deep neural networks remain relevant alternatives, but adding them after approval would </w:t>
      </w:r>
      <w:r>
        <w:rPr>
          <w:rFonts w:eastAsia="Arial" w:cs="Arial"/>
        </w:rPr>
        <w:lastRenderedPageBreak/>
        <w:t>change the study design. The controlled comparison therefore prioritises methodological consistency and uses precision, recall, F1-score, ROC-AUC, PR-AUC and confusion-matrix counts to answer RQ1.</w:t>
      </w:r>
    </w:p>
    <w:p w14:paraId="514A7FFC" w14:textId="77777777" w:rsidR="0070366D" w:rsidRDefault="00DF4816">
      <w:r>
        <w:rPr>
          <w:rFonts w:eastAsia="Arial" w:cs="Arial"/>
        </w:rPr>
        <w:t>The absence of a universally best classifier follows from differences in data structure and decision purpose. A model that performs well after heavy resampling may rank differently when tested at natural prevalence. A method that maximises recall may be unsuitable when investigation capacity is constrained, while a model with higher precision may still be unacceptable if it misses high-value fraud. Hyperparameter search can also change rankings, particularly when the search objective favours one metric. Comparative research should therefore report the conditions under which a result was obtained: the split, transformations, sampling method, threshold and evaluation distribution. Without those details, the algorithm name alone explains little about expected performance in another setting.</w:t>
      </w:r>
    </w:p>
    <w:p w14:paraId="321CBA65" w14:textId="77777777" w:rsidR="0070366D" w:rsidRDefault="00DF4816">
      <w:r>
        <w:rPr>
          <w:rFonts w:eastAsia="Arial" w:cs="Arial"/>
        </w:rPr>
        <w:t>This conditional view also affects the interpretation of published accuracy values. In a dataset dominated by legitimate transactions, accuracy largely reflects performance on the majority class. Two studies can report similarly high accuracy while producing very different fraud recall and false-positive burdens. Cherif et al. (2023) identify considerable methodological variation in the credit-card fraud literature, and Khalid et al. (2024) note continuing challenges involving generalisability and real-time processing. The present study responds by holding the evaluation data constant and treating the confusion matrix, F1-score and PR-AUC as primary evidence alongside accuracy and ROC-AUC.</w:t>
      </w:r>
    </w:p>
    <w:p w14:paraId="132771FC" w14:textId="77777777" w:rsidR="000B6781" w:rsidRDefault="00AE213B">
      <w:pPr>
        <w:pStyle w:val="Heading2"/>
        <w:spacing w:after="120"/>
      </w:pPr>
      <w:bookmarkStart w:id="21" w:name="_Toc244188217"/>
      <w:r>
        <w:rPr>
          <w:rFonts w:ascii="Arial" w:eastAsia="Arial" w:hAnsi="Arial" w:cs="Arial"/>
        </w:rPr>
        <w:t>2.2.2 Class imbalance, leakage and metric selection</w:t>
      </w:r>
      <w:bookmarkEnd w:id="21"/>
    </w:p>
    <w:p w14:paraId="6B4C9A59" w14:textId="77777777" w:rsidR="000B6781" w:rsidRDefault="00AE213B">
      <w:r>
        <w:rPr>
          <w:rFonts w:eastAsia="Arial" w:cs="Arial"/>
        </w:rPr>
        <w:t>The Kaggle dataset contains 492 fraudulent transactions among 284,807 records, a prevalence of approximately 0.172%. Under this distribution, accuracy is dominated by legitimate transactions. Precision measures alert correctness, recall measures fraud coverage, and F1 balances the two; ROC-AUC measures ranking across thresholds, while PR-AUC focuses on retrieval of the rare positive class (Saito and Rehmsmeier, 2015). Recent fraud studies likewise show that overall accuracy can conceal minority-class failure and that sampling strategy materially affects reported results (Cherif et al., 2023; Nobel et al., 2024). RQ1 consequently requires the full metric set and the underlying confusion-matrix counts.</w:t>
      </w:r>
    </w:p>
    <w:p w14:paraId="74CA454F" w14:textId="77777777" w:rsidR="000B6781" w:rsidRDefault="00AE213B">
      <w:r>
        <w:rPr>
          <w:rFonts w:eastAsia="Arial" w:cs="Arial"/>
        </w:rPr>
        <w:t xml:space="preserve">SMOTE synthesises minority-class examples between neighbouring observations and can help a classifier learn a less majority-dominated boundary (Chawla et al., 2002). However, resampling before the train-test split allows information derived from held-out observations </w:t>
      </w:r>
      <w:r>
        <w:rPr>
          <w:rFonts w:eastAsia="Arial" w:cs="Arial"/>
        </w:rPr>
        <w:lastRenderedPageBreak/>
        <w:t>to influence training and can inflate performance. The defensible sequence is to split first, estimate transformations from training data only and preserve the natural class distribution in the test set (imbalanced-learn, 2026). This leakage-safe design is essential to RQ1 because otherwise apparent differences among models may reflect preprocessing contamination rather than genuine generalisation.</w:t>
      </w:r>
    </w:p>
    <w:p w14:paraId="0ED1E701" w14:textId="77777777" w:rsidR="0070366D" w:rsidRDefault="00DF4816">
      <w:r>
        <w:rPr>
          <w:rFonts w:eastAsia="Arial" w:cs="Arial"/>
        </w:rPr>
        <w:t>Resampling is useful only when its place in the workflow is controlled. SMOTE creates synthetic minority examples by interpolating between minority observations (Chawla et al., 2002). If the complete dataset is resampled before it is divided, information derived from observations that later enter the test set can influence the training distribution. The resulting test performance no longer represents genuinely unseen data. The same concern applies to scaling: the parameters used to transform variables must be learned from the training subset and then applied to the test subset. The imbalanced-learn guidance treats resampling before the split as a common form of data leakage. Restricting transformations to training data therefore protects the validity of the comparison and preserves the natural test prevalence against which operational performance is judged.</w:t>
      </w:r>
    </w:p>
    <w:p w14:paraId="2597DC38" w14:textId="77777777" w:rsidR="0070366D" w:rsidRDefault="00DF4816">
      <w:r>
        <w:rPr>
          <w:rFonts w:eastAsia="Arial" w:cs="Arial"/>
        </w:rPr>
        <w:t>Metric selection determines which aspect of performance is visible. Recall measures the proportion of fraud cases detected, while precision measures the proportion of alerts that are actually fraudulent. F1-score combines the two through their harmonic mean, but it still represents one chosen balance and does not incorporate a bank's actual investigation or loss costs. ROC-AUC summarises ranking performance across thresholds, yet it includes the true-negative rate, which can remain high when legitimate transactions greatly outnumber fraud. Saito and Rehmsmeier (2015) show why precision-recall analysis is more informative for imbalanced binary outcomes. PR-AUC is therefore particularly useful here because it describes performance on the positive class across thresholds. Confusion matrices remain necessary because they convert rates into the counts that determine workload and missed cases.</w:t>
      </w:r>
    </w:p>
    <w:p w14:paraId="4DE8156D" w14:textId="77777777" w:rsidR="000B6781" w:rsidRDefault="00AE213B">
      <w:pPr>
        <w:pStyle w:val="Heading2"/>
        <w:spacing w:after="120"/>
      </w:pPr>
      <w:bookmarkStart w:id="22" w:name="_Toc244188218"/>
      <w:r>
        <w:rPr>
          <w:rFonts w:ascii="Arial" w:eastAsia="Arial" w:hAnsi="Arial" w:cs="Arial"/>
        </w:rPr>
        <w:t>2.3 Literature addressing RQ2: explainability and reliability</w:t>
      </w:r>
      <w:bookmarkEnd w:id="22"/>
    </w:p>
    <w:p w14:paraId="5B8AE291" w14:textId="77777777" w:rsidR="000B6781" w:rsidRDefault="00AE213B">
      <w:r>
        <w:rPr>
          <w:rFonts w:eastAsia="Arial" w:cs="Arial"/>
        </w:rPr>
        <w:t xml:space="preserve">Interpretability may be intrinsic, as with a compact logistic model or shallow tree, or post-hoc, as with attribution methods applied to a complex model. In finance, post-hoc XAI has become prominent because institutions must reconcile strong prediction with traceability, audit and user understanding (Psychoula et al., 2021; Weber, Carl and Hinz, 2024). Explanations remain approximations rather than causal effects. A recent fraud-focused review identifies an evaluation gap: predictive performance is frequently measured more rigorously than explanation fidelity, stability or usefulness (Zafar and Wu, 2026). RQ2 </w:t>
      </w:r>
      <w:r>
        <w:rPr>
          <w:rFonts w:eastAsia="Arial" w:cs="Arial"/>
        </w:rPr>
        <w:lastRenderedPageBreak/>
        <w:t>therefore examines not only which features are reported, but also whether SHAP and LIME agree and whether repeated local explanations remain stable.</w:t>
      </w:r>
    </w:p>
    <w:p w14:paraId="7A22CB0F" w14:textId="77777777" w:rsidR="000B6781" w:rsidRDefault="00AE213B">
      <w:r>
        <w:rPr>
          <w:rFonts w:eastAsia="Arial" w:cs="Arial"/>
        </w:rPr>
        <w:t>SHAP represents predictions as additive feature contributions grounded in Shapley-value principles (Lundberg and Lee, 2017). TreeSHAP can explain tree ensembles efficiently, making the method practical if Random Forest performs strongly. Global summaries aggregate local attributions, while local values explain individual outputs. SHAP is widely used in contemporary fraud XAI, but its values depend on background data and assumptions about feature dependence (Zafar and Wu, 2026). In this dataset, PCA components further restrict interpretation because high attribution does not reveal the original business characteristic.</w:t>
      </w:r>
    </w:p>
    <w:p w14:paraId="23D4FE5B" w14:textId="77777777" w:rsidR="000B6781" w:rsidRDefault="00AE213B">
      <w:r>
        <w:rPr>
          <w:rFonts w:eastAsia="Arial" w:cs="Arial"/>
        </w:rPr>
        <w:t>LIME perturbs observations around one case and fits a sparse local surrogate model (Ribeiro, Singh and Guestrin, 2016). It can communicate case-level drivers, but results may vary with the perturbation sample, random seed, neighbourhood width and discretisation. Fraud-XAI reviews identify this local instability as a practical limitation and recommend more direct evaluation of explanation quality (Zafar and Wu, 2026). The study therefore compares SHAP and LIME on selected correct and incorrect cases and repeats LIME with documented seeds. Convergence increases confidence that methods identify similar local drivers; divergence is treated as a review signal rather than concealed.</w:t>
      </w:r>
    </w:p>
    <w:p w14:paraId="3D2E9EEF" w14:textId="77777777" w:rsidR="0070366D" w:rsidRDefault="00DF4816">
      <w:r>
        <w:rPr>
          <w:rFonts w:eastAsia="Arial" w:cs="Arial"/>
        </w:rPr>
        <w:t>Explainability can serve several purposes that should not be conflated. A global explanation summarises the features that influence predictions across a sample and can support model review, comparison and monitoring. A local explanation describes one prediction and may support case investigation or error analysis. Neither type automatically provides a causal account. In this dataset, V1-V28 are anonymised principal components, so an attribution indicates how a transformed variable influenced model output but does not reveal an underlying customer behaviour. Psychoula et al. (2021) argue that explanations can support fraud-detection stakeholders, while also recognising that usefulness depends on the context in which they are presented. The present study consequently evaluates explanations as evidence about model behaviour, not as causal descriptions of fraud.</w:t>
      </w:r>
    </w:p>
    <w:p w14:paraId="4094014E" w14:textId="77777777" w:rsidR="0070366D" w:rsidRDefault="00DF4816">
      <w:r>
        <w:rPr>
          <w:rFonts w:eastAsia="Arial" w:cs="Arial"/>
        </w:rPr>
        <w:t xml:space="preserve">SHAP and LIME provide complementary views. SHAP assigns feature contributions using a framework derived from Shapley values and can be aggregated to describe global importance (Lundberg and Lee, 2017). LIME perturbs an observation, obtains predictions in its neighbourhood and fits a simpler local surrogate (Ribeiro, Singh and Guestrin, 2016). SHAP offers a consistent attribution framework, whereas LIME is designed to approximate </w:t>
      </w:r>
      <w:r>
        <w:rPr>
          <w:rFonts w:eastAsia="Arial" w:cs="Arial"/>
        </w:rPr>
        <w:lastRenderedPageBreak/>
        <w:t>behaviour near a selected case. Both methods depend on implementation choices and on how the surrounding data distribution is represented. Agreement between the methods can increase confidence that the leading local features are not an artefact of one explainer, but disagreement does not by itself prove that the model is wrong. It identifies a case that requires closer review, repeated runs or a different explanation design.</w:t>
      </w:r>
    </w:p>
    <w:p w14:paraId="0902D5F2" w14:textId="77777777" w:rsidR="0070366D" w:rsidRDefault="00DF4816">
      <w:r>
        <w:rPr>
          <w:rFonts w:eastAsia="Arial" w:cs="Arial"/>
        </w:rPr>
        <w:t>Reliability must be evaluated separately from visual plausibility. A bar chart can look convincing even when small changes to the sampled neighbourhood alter the leading features. Repeated explanations, fixed random seeds and explicit agreement measures help reveal this sensitivity. Zafar and Wu (2026) identify methodological challenges in explainable fraud detection, including the need to evaluate explanations rather than assuming that their availability establishes trustworthiness. The present study therefore records LIME stability across repeated runs and compares the top features returned by LIME and SHAP. This does not provide a complete validation of either method, but it replaces an impressionistic judgement with reproducible evidence about selected cases.</w:t>
      </w:r>
    </w:p>
    <w:p w14:paraId="4CD658C4" w14:textId="77777777" w:rsidR="000B6781" w:rsidRDefault="00AE213B">
      <w:pPr>
        <w:pStyle w:val="Heading2"/>
        <w:pageBreakBefore/>
        <w:spacing w:after="120"/>
      </w:pPr>
      <w:bookmarkStart w:id="23" w:name="_Toc244188219"/>
      <w:r>
        <w:rPr>
          <w:rFonts w:ascii="Arial" w:eastAsia="Arial" w:hAnsi="Arial" w:cs="Arial"/>
        </w:rPr>
        <w:lastRenderedPageBreak/>
        <w:t>2.3.1 XAI-first evaluation framework</w:t>
      </w:r>
      <w:bookmarkEnd w:id="23"/>
    </w:p>
    <w:p w14:paraId="5618255A" w14:textId="77777777" w:rsidR="000B6781" w:rsidRDefault="00AE213B">
      <w:pPr>
        <w:keepNext/>
      </w:pPr>
      <w:r>
        <w:rPr>
          <w:rFonts w:eastAsia="Arial" w:cs="Arial"/>
        </w:rPr>
        <w:t>An XAI-first approach allows explanation requirements to influence model evaluation from the beginning. Predictive performance remains necessary, but selection also considers explanation feasibility, agreement, stability and intended use (Weber, Carl and Hinz, 2024; Zafar and Wu, 2026). Figure 1 summarises the six-stage workflow used in this study, linking risk definition, leakage-safe preparation, five-model comparison, selection, SHAP-LIME explanation and governance. The framework does not automatically prefer the simplest model; it requires any performance gain from complexity to be considered alongside the quality and limits of the resulting explanations.</w:t>
      </w:r>
    </w:p>
    <w:tbl>
      <w:tblPr>
        <w:tblStyle w:val="TableGrid"/>
        <w:tblW w:w="9360" w:type="dxa"/>
        <w:tblInd w:w="120" w:type="dxa"/>
        <w:tblLayout w:type="fixed"/>
        <w:tblLook w:val="04A0" w:firstRow="1" w:lastRow="0" w:firstColumn="1" w:lastColumn="0" w:noHBand="0" w:noVBand="1"/>
      </w:tblPr>
      <w:tblGrid>
        <w:gridCol w:w="1560"/>
        <w:gridCol w:w="1560"/>
        <w:gridCol w:w="1560"/>
        <w:gridCol w:w="1560"/>
        <w:gridCol w:w="1560"/>
        <w:gridCol w:w="1560"/>
      </w:tblGrid>
      <w:tr w:rsidR="000B6781" w14:paraId="72A20FAC" w14:textId="77777777">
        <w:trPr>
          <w:cantSplit/>
          <w:tblHeader/>
        </w:trPr>
        <w:tc>
          <w:tcPr>
            <w:tcW w:w="1560" w:type="dxa"/>
            <w:shd w:val="clear" w:color="auto" w:fill="17365D"/>
            <w:tcMar>
              <w:top w:w="100" w:type="dxa"/>
              <w:left w:w="120" w:type="dxa"/>
              <w:bottom w:w="100" w:type="dxa"/>
              <w:right w:w="120" w:type="dxa"/>
            </w:tcMar>
            <w:vAlign w:val="center"/>
          </w:tcPr>
          <w:p w14:paraId="775DD8D7" w14:textId="77777777" w:rsidR="000B6781" w:rsidRDefault="00AE213B">
            <w:pPr>
              <w:spacing w:after="40" w:line="240" w:lineRule="auto"/>
              <w:jc w:val="center"/>
            </w:pPr>
            <w:r>
              <w:rPr>
                <w:rFonts w:eastAsia="Arial" w:cs="Arial"/>
                <w:b/>
              </w:rPr>
              <w:t>1. Define</w:t>
            </w:r>
          </w:p>
        </w:tc>
        <w:tc>
          <w:tcPr>
            <w:tcW w:w="1560" w:type="dxa"/>
            <w:shd w:val="clear" w:color="auto" w:fill="17365D"/>
            <w:tcMar>
              <w:top w:w="100" w:type="dxa"/>
              <w:left w:w="120" w:type="dxa"/>
              <w:bottom w:w="100" w:type="dxa"/>
              <w:right w:w="120" w:type="dxa"/>
            </w:tcMar>
            <w:vAlign w:val="center"/>
          </w:tcPr>
          <w:p w14:paraId="6654A691" w14:textId="77777777" w:rsidR="000B6781" w:rsidRDefault="00AE213B">
            <w:pPr>
              <w:spacing w:after="40" w:line="240" w:lineRule="auto"/>
              <w:jc w:val="center"/>
            </w:pPr>
            <w:r>
              <w:rPr>
                <w:rFonts w:eastAsia="Arial" w:cs="Arial"/>
                <w:b/>
              </w:rPr>
              <w:t>2. Prepare</w:t>
            </w:r>
          </w:p>
        </w:tc>
        <w:tc>
          <w:tcPr>
            <w:tcW w:w="1560" w:type="dxa"/>
            <w:shd w:val="clear" w:color="auto" w:fill="17365D"/>
            <w:tcMar>
              <w:top w:w="100" w:type="dxa"/>
              <w:left w:w="120" w:type="dxa"/>
              <w:bottom w:w="100" w:type="dxa"/>
              <w:right w:w="120" w:type="dxa"/>
            </w:tcMar>
            <w:vAlign w:val="center"/>
          </w:tcPr>
          <w:p w14:paraId="5886E942" w14:textId="77777777" w:rsidR="000B6781" w:rsidRDefault="00AE213B">
            <w:pPr>
              <w:spacing w:after="40" w:line="240" w:lineRule="auto"/>
              <w:jc w:val="center"/>
            </w:pPr>
            <w:r>
              <w:rPr>
                <w:rFonts w:eastAsia="Arial" w:cs="Arial"/>
                <w:b/>
              </w:rPr>
              <w:t>3. Compare</w:t>
            </w:r>
          </w:p>
        </w:tc>
        <w:tc>
          <w:tcPr>
            <w:tcW w:w="1560" w:type="dxa"/>
            <w:shd w:val="clear" w:color="auto" w:fill="17365D"/>
            <w:tcMar>
              <w:top w:w="100" w:type="dxa"/>
              <w:left w:w="120" w:type="dxa"/>
              <w:bottom w:w="100" w:type="dxa"/>
              <w:right w:w="120" w:type="dxa"/>
            </w:tcMar>
            <w:vAlign w:val="center"/>
          </w:tcPr>
          <w:p w14:paraId="4AAF67FC" w14:textId="77777777" w:rsidR="000B6781" w:rsidRDefault="00AE213B">
            <w:pPr>
              <w:spacing w:after="40" w:line="240" w:lineRule="auto"/>
              <w:jc w:val="center"/>
            </w:pPr>
            <w:r>
              <w:rPr>
                <w:rFonts w:eastAsia="Arial" w:cs="Arial"/>
                <w:b/>
              </w:rPr>
              <w:t>4. Select</w:t>
            </w:r>
          </w:p>
        </w:tc>
        <w:tc>
          <w:tcPr>
            <w:tcW w:w="1560" w:type="dxa"/>
            <w:shd w:val="clear" w:color="auto" w:fill="17365D"/>
            <w:tcMar>
              <w:top w:w="100" w:type="dxa"/>
              <w:left w:w="120" w:type="dxa"/>
              <w:bottom w:w="100" w:type="dxa"/>
              <w:right w:w="120" w:type="dxa"/>
            </w:tcMar>
            <w:vAlign w:val="center"/>
          </w:tcPr>
          <w:p w14:paraId="463514AD" w14:textId="77777777" w:rsidR="000B6781" w:rsidRDefault="00AE213B">
            <w:pPr>
              <w:spacing w:after="40" w:line="240" w:lineRule="auto"/>
              <w:jc w:val="center"/>
            </w:pPr>
            <w:r>
              <w:rPr>
                <w:rFonts w:eastAsia="Arial" w:cs="Arial"/>
                <w:b/>
              </w:rPr>
              <w:t>5. Explain</w:t>
            </w:r>
          </w:p>
        </w:tc>
        <w:tc>
          <w:tcPr>
            <w:tcW w:w="1560" w:type="dxa"/>
            <w:shd w:val="clear" w:color="auto" w:fill="17365D"/>
            <w:tcMar>
              <w:top w:w="100" w:type="dxa"/>
              <w:left w:w="120" w:type="dxa"/>
              <w:bottom w:w="100" w:type="dxa"/>
              <w:right w:w="120" w:type="dxa"/>
            </w:tcMar>
            <w:vAlign w:val="center"/>
          </w:tcPr>
          <w:p w14:paraId="7D66FA6C" w14:textId="77777777" w:rsidR="000B6781" w:rsidRDefault="00AE213B">
            <w:pPr>
              <w:spacing w:after="40" w:line="240" w:lineRule="auto"/>
              <w:jc w:val="center"/>
            </w:pPr>
            <w:r>
              <w:rPr>
                <w:rFonts w:eastAsia="Arial" w:cs="Arial"/>
                <w:b/>
              </w:rPr>
              <w:t>6. Govern</w:t>
            </w:r>
          </w:p>
        </w:tc>
      </w:tr>
      <w:tr w:rsidR="000B6781" w14:paraId="4F0F9FEF" w14:textId="77777777">
        <w:trPr>
          <w:cantSplit/>
        </w:trPr>
        <w:tc>
          <w:tcPr>
            <w:tcW w:w="1560" w:type="dxa"/>
            <w:tcMar>
              <w:top w:w="100" w:type="dxa"/>
              <w:left w:w="120" w:type="dxa"/>
              <w:bottom w:w="100" w:type="dxa"/>
              <w:right w:w="120" w:type="dxa"/>
            </w:tcMar>
            <w:vAlign w:val="center"/>
          </w:tcPr>
          <w:p w14:paraId="4E401EDD" w14:textId="77777777" w:rsidR="000B6781" w:rsidRDefault="00AE213B">
            <w:pPr>
              <w:spacing w:after="40" w:line="240" w:lineRule="auto"/>
              <w:jc w:val="left"/>
            </w:pPr>
            <w:r>
              <w:rPr>
                <w:rFonts w:eastAsia="Arial" w:cs="Arial"/>
              </w:rPr>
              <w:t>Risk, users and explanation purpose</w:t>
            </w:r>
          </w:p>
        </w:tc>
        <w:tc>
          <w:tcPr>
            <w:tcW w:w="1560" w:type="dxa"/>
            <w:tcMar>
              <w:top w:w="100" w:type="dxa"/>
              <w:left w:w="120" w:type="dxa"/>
              <w:bottom w:w="100" w:type="dxa"/>
              <w:right w:w="120" w:type="dxa"/>
            </w:tcMar>
            <w:vAlign w:val="center"/>
          </w:tcPr>
          <w:p w14:paraId="0CECD4FD" w14:textId="77777777" w:rsidR="00757FB5" w:rsidRDefault="00AE213B">
            <w:pPr>
              <w:spacing w:after="40" w:line="240" w:lineRule="auto"/>
              <w:jc w:val="left"/>
            </w:pPr>
            <w:r>
              <w:rPr>
                <w:rFonts w:eastAsia="Arial" w:cs="Arial"/>
              </w:rPr>
              <w:t>Split; train-only scaling and SMOTE</w:t>
            </w:r>
          </w:p>
        </w:tc>
        <w:tc>
          <w:tcPr>
            <w:tcW w:w="1560" w:type="dxa"/>
            <w:tcMar>
              <w:top w:w="100" w:type="dxa"/>
              <w:left w:w="120" w:type="dxa"/>
              <w:bottom w:w="100" w:type="dxa"/>
              <w:right w:w="120" w:type="dxa"/>
            </w:tcMar>
            <w:vAlign w:val="center"/>
          </w:tcPr>
          <w:p w14:paraId="74B39312" w14:textId="77777777" w:rsidR="000B6781" w:rsidRDefault="00AE213B">
            <w:pPr>
              <w:spacing w:after="40" w:line="240" w:lineRule="auto"/>
              <w:jc w:val="left"/>
            </w:pPr>
            <w:r>
              <w:rPr>
                <w:rFonts w:eastAsia="Arial" w:cs="Arial"/>
              </w:rPr>
              <w:t>Five models and imbalance-sensitive metrics</w:t>
            </w:r>
          </w:p>
        </w:tc>
        <w:tc>
          <w:tcPr>
            <w:tcW w:w="1560" w:type="dxa"/>
            <w:tcMar>
              <w:top w:w="100" w:type="dxa"/>
              <w:left w:w="120" w:type="dxa"/>
              <w:bottom w:w="100" w:type="dxa"/>
              <w:right w:w="120" w:type="dxa"/>
            </w:tcMar>
            <w:vAlign w:val="center"/>
          </w:tcPr>
          <w:p w14:paraId="281E1D57" w14:textId="77777777" w:rsidR="000B6781" w:rsidRDefault="00AE213B">
            <w:pPr>
              <w:spacing w:after="40" w:line="240" w:lineRule="auto"/>
              <w:jc w:val="left"/>
            </w:pPr>
            <w:r>
              <w:rPr>
                <w:rFonts w:eastAsia="Arial" w:cs="Arial"/>
              </w:rPr>
              <w:t>Performance plus explainability feasibility</w:t>
            </w:r>
          </w:p>
        </w:tc>
        <w:tc>
          <w:tcPr>
            <w:tcW w:w="1560" w:type="dxa"/>
            <w:tcMar>
              <w:top w:w="100" w:type="dxa"/>
              <w:left w:w="120" w:type="dxa"/>
              <w:bottom w:w="100" w:type="dxa"/>
              <w:right w:w="120" w:type="dxa"/>
            </w:tcMar>
            <w:vAlign w:val="center"/>
          </w:tcPr>
          <w:p w14:paraId="26585991" w14:textId="77777777" w:rsidR="000B6781" w:rsidRDefault="00AE213B">
            <w:pPr>
              <w:spacing w:after="40" w:line="240" w:lineRule="auto"/>
              <w:jc w:val="left"/>
            </w:pPr>
            <w:r>
              <w:rPr>
                <w:rFonts w:eastAsia="Arial" w:cs="Arial"/>
              </w:rPr>
              <w:t>SHAP global/local; LIME local; stability</w:t>
            </w:r>
          </w:p>
        </w:tc>
        <w:tc>
          <w:tcPr>
            <w:tcW w:w="1560" w:type="dxa"/>
            <w:tcMar>
              <w:top w:w="100" w:type="dxa"/>
              <w:left w:w="120" w:type="dxa"/>
              <w:bottom w:w="100" w:type="dxa"/>
              <w:right w:w="120" w:type="dxa"/>
            </w:tcMar>
            <w:vAlign w:val="center"/>
          </w:tcPr>
          <w:p w14:paraId="2670C3AE" w14:textId="77777777" w:rsidR="000B6781" w:rsidRDefault="00AE213B">
            <w:pPr>
              <w:spacing w:after="40" w:line="240" w:lineRule="auto"/>
              <w:jc w:val="left"/>
            </w:pPr>
            <w:r>
              <w:rPr>
                <w:rFonts w:eastAsia="Arial" w:cs="Arial"/>
              </w:rPr>
              <w:t>Human review, limitations and POPIA context</w:t>
            </w:r>
          </w:p>
        </w:tc>
      </w:tr>
    </w:tbl>
    <w:p w14:paraId="257776BB" w14:textId="77777777" w:rsidR="000B6781" w:rsidRDefault="00AE213B">
      <w:pPr>
        <w:keepNext/>
        <w:spacing w:line="240" w:lineRule="auto"/>
        <w:jc w:val="center"/>
      </w:pPr>
      <w:bookmarkStart w:id="24" w:name="fig_1"/>
      <w:r>
        <w:rPr>
          <w:rFonts w:eastAsia="Arial" w:cs="Arial"/>
          <w:b/>
          <w:i/>
        </w:rPr>
        <w:t>Figure 1. XAI-first analytical workflow applied in the study.</w:t>
      </w:r>
      <w:bookmarkEnd w:id="24"/>
    </w:p>
    <w:p w14:paraId="7312B4C7" w14:textId="77777777" w:rsidR="0070366D" w:rsidRDefault="00DF4816">
      <w:r>
        <w:rPr>
          <w:rFonts w:eastAsia="Arial" w:cs="Arial"/>
        </w:rPr>
        <w:t>An XAI-first framework introduces explainability before the final model is adopted. Predictive performance remains necessary, but the selection decision also considers whether the model can be examined with methods appropriate to the study's governance objective. This differs from adding a visual explanation after deployment has already been decided. Weber, Carl and Hinz (2024) show that financial XAI research spans different applications, audiences and explanation goals, making a single generic notion of transparency inadequate. For fraud detection, the review process should ask whether global rankings are stable, whether local explanations are coherent for correct and incorrect cases, and whether the explanation can be linked to a documented human decision. The framework used here therefore treats performance, explanation agreement and limitations as connected evidence.</w:t>
      </w:r>
    </w:p>
    <w:p w14:paraId="2FAE361F" w14:textId="77777777" w:rsidR="000B6781" w:rsidRDefault="00AE213B">
      <w:pPr>
        <w:pStyle w:val="Heading2"/>
        <w:spacing w:after="120"/>
      </w:pPr>
      <w:bookmarkStart w:id="25" w:name="_Toc244188220"/>
      <w:r>
        <w:rPr>
          <w:rFonts w:ascii="Arial" w:eastAsia="Arial" w:hAnsi="Arial" w:cs="Arial"/>
        </w:rPr>
        <w:t>2.4 Literature addressing RQ3: South African applicability and governance</w:t>
      </w:r>
      <w:bookmarkEnd w:id="25"/>
    </w:p>
    <w:p w14:paraId="495F189B" w14:textId="77777777" w:rsidR="000B6781" w:rsidRDefault="00AE213B">
      <w:r>
        <w:rPr>
          <w:rFonts w:eastAsia="Arial" w:cs="Arial"/>
        </w:rPr>
        <w:t xml:space="preserve">Public transaction-level evidence remains limited for South African banking because fraud data are commercially sensitive and contain personal information. SABRIC (2026) provides recent aggregate and channel-level evidence, but its digital-banking figures represent information submitted by participating institutions and are not a complete transaction-level dataset for every South African bank. The historical European Kaggle dataset therefore remains a benchmark of analytical methods, not a proxy for South African prevalence, channels or customer behaviour. RQ3 uses the latest local evidence to </w:t>
      </w:r>
      <w:r>
        <w:rPr>
          <w:rFonts w:eastAsia="Arial" w:cs="Arial"/>
        </w:rPr>
        <w:lastRenderedPageBreak/>
        <w:t>interpret operational and governance implications while explicitly withholding claims of direct local predictive validity.</w:t>
      </w:r>
    </w:p>
    <w:p w14:paraId="603FC7E0" w14:textId="77777777" w:rsidR="000B6781" w:rsidRDefault="00AE213B">
      <w:r>
        <w:rPr>
          <w:rFonts w:eastAsia="Arial" w:cs="Arial"/>
        </w:rPr>
        <w:t>Section 71 of POPIA is relevant when solely automated profiling produces decisions with legal or substantial effects. Responsible implementation therefore requires more than a SHAP plot: documented purpose, data quality, security, bias and error assessment, human intervention, representations by affected persons, change monitoring and model-risk governance are also important (Republic of South Africa, 2013). Financial-XAI literature similarly treats explanations as one component of accountable decision support rather than proof of compliance (Weber, Carl and Hinz, 2024). RQ3 accordingly interprets SHAP and LIME as governance evidence whose adequacy depends on context, users and oversight.</w:t>
      </w:r>
    </w:p>
    <w:p w14:paraId="09E3C6DA" w14:textId="77777777" w:rsidR="0070366D" w:rsidRDefault="00DF4816">
      <w:r>
        <w:rPr>
          <w:rFonts w:eastAsia="Arial" w:cs="Arial"/>
        </w:rPr>
        <w:t>South African applicability must be assessed at the level of data, process and governance. Data applicability concerns whether the population, fraud types, payment channels and time period resemble the intended setting. Process applicability concerns how scores would enter alert queues, customer verification and investigation. Governance applicability concerns whether the institution can document the model, monitor it and provide suitable human oversight. The European benchmark dataset supports controlled methodological comparison, but it cannot answer all three questions. SABRIC's 2025 crime statistics describe a current local environment in which reported digital-banking crime cases and losses remain substantial (SABRIC, 2026). The comparison establishes the importance of the problem, not equivalence between the benchmark transactions and contemporary South African cases.</w:t>
      </w:r>
    </w:p>
    <w:p w14:paraId="025050F2" w14:textId="77777777" w:rsidR="0070366D" w:rsidRDefault="00DF4816">
      <w:r>
        <w:rPr>
          <w:rFonts w:eastAsia="Arial" w:cs="Arial"/>
        </w:rPr>
        <w:t>POPIA reinforces the need to distinguish experimental analysis from operational automated decision-making. Section 71 addresses decisions based solely on automated processing when they have legal or substantial effects. A fraud model may be used in several ways, ranging from prioritising an internal review queue to automatically blocking a transaction. Those uses do not have identical consequences, and their safeguards should differ. The current study does not identify customers or make live decisions, but its findings imply that an operational design should retain human review for consequential actions, record the reason for escalation and provide a route for correcting adverse outcomes. Explanation is one control within that broader system; it does not replace data-quality checks, access controls, threshold governance or monitoring.</w:t>
      </w:r>
    </w:p>
    <w:p w14:paraId="5E3E0CC8" w14:textId="77777777" w:rsidR="0070366D" w:rsidRDefault="00DF4816">
      <w:r>
        <w:rPr>
          <w:rFonts w:eastAsia="Arial" w:cs="Arial"/>
        </w:rPr>
        <w:t xml:space="preserve">Recent research also links explainability with privacy-preserving collaborative model development. Aljunaid et al. (2025) position explainable artificial intelligence within a </w:t>
      </w:r>
      <w:r>
        <w:rPr>
          <w:rFonts w:eastAsia="Arial" w:cs="Arial"/>
        </w:rPr>
        <w:lastRenderedPageBreak/>
        <w:t>federated-learning model for financial fraud detection. This direction is relevant to banking because institutions may wish to learn from distributed fraud patterns without centralising all underlying customer transactions. It nevertheless does not remove the principal validity and governance questions identified in this review. Differences in institutional populations, payment channels, labels and fraud prevalence can produce heterogeneous local data; an aggregated model can still conceal uneven error rates or explanations that are unstable for a particular institution. Privacy-preserving architecture must therefore be evaluated alongside local performance, explanation reliability, access controls, accountability and human oversight. For the present study, this work broadens the technical landscape while reinforcing the decision not to equate an advanced architecture with deployment readiness.</w:t>
      </w:r>
    </w:p>
    <w:p w14:paraId="0D7D4FB2" w14:textId="77777777" w:rsidR="000B6781" w:rsidRDefault="00AE213B">
      <w:pPr>
        <w:pStyle w:val="Heading2"/>
        <w:spacing w:after="120"/>
      </w:pPr>
      <w:bookmarkStart w:id="26" w:name="_Toc244188221"/>
      <w:r>
        <w:rPr>
          <w:rFonts w:ascii="Arial" w:eastAsia="Arial" w:hAnsi="Arial" w:cs="Arial"/>
        </w:rPr>
        <w:t>2.5 Critical synthesis and research gap</w:t>
      </w:r>
      <w:bookmarkEnd w:id="26"/>
    </w:p>
    <w:p w14:paraId="1B670D86" w14:textId="77777777" w:rsidR="000B6781" w:rsidRDefault="00AE213B">
      <w:r>
        <w:rPr>
          <w:rFonts w:eastAsia="Arial" w:cs="Arial"/>
        </w:rPr>
        <w:t>The literature establishes four linked conclusions. First, fraud detection is an adaptive, imbalanced decision problem, so accuracy alone is inadequate (Cherif et al., 2023). Second, model superiority is conditional on experimental design; a controlled benchmark is more defensible than cross-study headline comparison. Third, SHAP and LIME answer related but different questions, and explanation agreement and stability require explicit evaluation (Zafar and Wu, 2026). Fourth, South African institutional and regulatory context can guide interpretation, but cannot transform historical European transactions into local evidence.</w:t>
      </w:r>
    </w:p>
    <w:p w14:paraId="5B7E8773" w14:textId="77777777" w:rsidR="000B6781" w:rsidRDefault="00AE213B">
      <w:r>
        <w:rPr>
          <w:rFonts w:eastAsia="Arial" w:cs="Arial"/>
        </w:rPr>
        <w:t>This study addresses the gaps through a leakage-safe comparison of five approved models for RQ1, dual-method explanation and stability evidence for RQ2, and bounded South African governance interpretation for RQ3. Its contribution is not a claim of universal model superiority or deployment readiness. It is a reproducible XAI-first design that connects model performance, operational error costs, explanation quality and accountable use within one traceable research framework.</w:t>
      </w:r>
    </w:p>
    <w:p w14:paraId="201F2258" w14:textId="77777777" w:rsidR="0070366D" w:rsidRDefault="00DF4816">
      <w:r>
        <w:rPr>
          <w:rFonts w:eastAsia="Arial" w:cs="Arial"/>
        </w:rPr>
        <w:t xml:space="preserve">The literature supports machine learning, resampling and XAI as useful components, but it also shows why results cannot be compared at face value. Studies use different datasets, prevalence rates, train-test procedures, model families and metric sets. Some optimise accuracy, some prioritise recall, and others report an ensemble without preserving an untouched imbalanced test distribution. Explanation studies may demonstrate SHAP or LIME without testing agreement or stability. The resulting gap is methodological rather than merely algorithmic: there is a need for an integrated, leakage-safe comparison that reports minority-class performance, examines both global and local explanations, and </w:t>
      </w:r>
      <w:r>
        <w:rPr>
          <w:rFonts w:eastAsia="Arial" w:cs="Arial"/>
        </w:rPr>
        <w:lastRenderedPageBreak/>
        <w:t>states the limits of geographic transfer. The present study is designed around that combined requirement.</w:t>
      </w:r>
    </w:p>
    <w:p w14:paraId="65753C18" w14:textId="77777777" w:rsidR="000B6781" w:rsidRDefault="00AE213B">
      <w:pPr>
        <w:pStyle w:val="Heading2"/>
        <w:spacing w:after="120"/>
      </w:pPr>
      <w:bookmarkStart w:id="27" w:name="_Toc244188222"/>
      <w:r>
        <w:rPr>
          <w:rFonts w:ascii="Arial" w:eastAsia="Arial" w:hAnsi="Arial" w:cs="Arial"/>
        </w:rPr>
        <w:t>2.6 Chapter summary</w:t>
      </w:r>
      <w:bookmarkEnd w:id="27"/>
    </w:p>
    <w:p w14:paraId="5D8F526A" w14:textId="77777777" w:rsidR="000B6781" w:rsidRDefault="00AE213B">
      <w:pPr>
        <w:keepLines/>
      </w:pPr>
      <w:r>
        <w:rPr>
          <w:rFonts w:eastAsia="Arial" w:cs="Arial"/>
        </w:rPr>
        <w:t>Chapter 2 organised the literature around the three research questions. Evidence for RQ1 justified a controlled, imbalance-sensitive comparison; evidence for RQ2 justified SHAP-LIME agreement and stability analysis; and evidence for RQ3 established the need for local validation, human oversight and bounded POPIA-informed interpretation. Chapter 3 translates these decisions into a reproducible methodology.</w:t>
      </w:r>
    </w:p>
    <w:p w14:paraId="5E598359" w14:textId="77777777" w:rsidR="000B6781" w:rsidRDefault="00AE213B">
      <w:r>
        <w:rPr>
          <w:rFonts w:eastAsia="Arial" w:cs="Arial"/>
        </w:rPr>
        <w:br w:type="page"/>
      </w:r>
    </w:p>
    <w:p w14:paraId="2B10DB2E" w14:textId="77777777" w:rsidR="000B6781" w:rsidRDefault="00AE213B">
      <w:pPr>
        <w:pStyle w:val="Heading1"/>
      </w:pPr>
      <w:bookmarkStart w:id="28" w:name="_Toc244188223"/>
      <w:r>
        <w:rPr>
          <w:rFonts w:ascii="Arial" w:eastAsia="Arial" w:hAnsi="Arial" w:cs="Arial"/>
        </w:rPr>
        <w:lastRenderedPageBreak/>
        <w:t>Chapter 3: Research Methodology</w:t>
      </w:r>
      <w:bookmarkEnd w:id="28"/>
    </w:p>
    <w:p w14:paraId="40B53220" w14:textId="77777777" w:rsidR="000B6781" w:rsidRDefault="00AE213B">
      <w:pPr>
        <w:pStyle w:val="Heading2"/>
        <w:spacing w:after="120"/>
      </w:pPr>
      <w:bookmarkStart w:id="29" w:name="_Toc244188224"/>
      <w:r>
        <w:rPr>
          <w:rFonts w:ascii="Arial" w:eastAsia="Arial" w:hAnsi="Arial" w:cs="Arial"/>
        </w:rPr>
        <w:t>3.1 Research philosophy, approach and design</w:t>
      </w:r>
      <w:bookmarkEnd w:id="29"/>
    </w:p>
    <w:p w14:paraId="0250DB3B" w14:textId="77777777" w:rsidR="000B6781" w:rsidRDefault="00AE213B">
      <w:r>
        <w:rPr>
          <w:rFonts w:eastAsia="Arial" w:cs="Arial"/>
        </w:rPr>
        <w:t>The study adopted a positivist orientation and a quantitative, deductive approach. It tested predefined hypotheses through an experimental comparison of supervised classifiers using secondary data. The unit of analysis was an anonymised transaction record, and the outcome was binary: legitimate or fraudulent. A controlled benchmarking design enabled all five models to be trained and evaluated using the same data partitions, preprocessing logic and metric definitions (Creswell and Creswell, 2018).</w:t>
      </w:r>
    </w:p>
    <w:p w14:paraId="72F72598" w14:textId="77777777" w:rsidR="0070366D" w:rsidRDefault="00DF4816">
      <w:r>
        <w:rPr>
          <w:rFonts w:eastAsia="Arial" w:cs="Arial"/>
        </w:rPr>
        <w:t>The positivist position is appropriate because the analysis evaluates observable model outputs through a predefined and reproducible procedure. The study does not treat a metric as a context-free truth about an algorithm; results are interpreted under the documented data and design conditions. The deductive structure follows from the research questions and hypotheses: established concerns about imbalance, ensemble performance and explainability are translated into measurable comparisons. A quantitative experimental design permits those comparisons because all five classifiers receive the same training partition and are evaluated on the same test observations (Creswell and Creswell, 2018).</w:t>
      </w:r>
    </w:p>
    <w:p w14:paraId="0E6A3D26" w14:textId="77777777" w:rsidR="000B6781" w:rsidRDefault="00AE213B">
      <w:pPr>
        <w:pStyle w:val="Heading2"/>
        <w:spacing w:after="120"/>
      </w:pPr>
      <w:bookmarkStart w:id="30" w:name="_Toc244188225"/>
      <w:r>
        <w:rPr>
          <w:rFonts w:ascii="Arial" w:eastAsia="Arial" w:hAnsi="Arial" w:cs="Arial"/>
        </w:rPr>
        <w:t>3.2 Dataset and provenance</w:t>
      </w:r>
      <w:bookmarkEnd w:id="30"/>
    </w:p>
    <w:p w14:paraId="1CB887D7" w14:textId="77777777" w:rsidR="000B6781" w:rsidRDefault="00AE213B">
      <w:r>
        <w:rPr>
          <w:rFonts w:eastAsia="Arial" w:cs="Arial"/>
        </w:rPr>
        <w:t>The Credit Card Fraud Detection dataset was published through Kaggle (Kaggle, n.d.) by the Machine Learning Group of Universite Libre de Bruxelles. It contains 284,807 European card transactions from September 2013, including 492 fraud cases and 284,315 legitimate cases. Variables V1-V28 are PCA-transformed, Time records elapsed seconds, Amount records transaction value in euros, and Class is the target. No direct identifiers are included. Before analysis, the source, SHA-256 checksum, schema, row count, class counts, missingness and duplicate-handling decision were recorded in the analysis summary.</w:t>
      </w:r>
    </w:p>
    <w:p w14:paraId="6E3FFCF3" w14:textId="77777777" w:rsidR="0070366D" w:rsidRDefault="00DF4816">
      <w:r>
        <w:rPr>
          <w:rFonts w:eastAsia="Arial" w:cs="Arial"/>
        </w:rPr>
        <w:t xml:space="preserve">Dataset provenance limits what can be inferred from the experiment. The observations represent transactions by European cardholders over two days in September 2013, and the source does not expose the original meanings of the principal components. These characteristics make the dataset valuable for benchmarking rare-event classification but unsuitable for estimating current South African fraud prevalence. The short collection window also prevents analysis of seasonality, emerging fraud strategies or longer-term concept drift. No attempt was made to reconstruct the transformed variables. The study therefore reports the dataset's origin, period, class distribution and variable structure </w:t>
      </w:r>
      <w:r>
        <w:rPr>
          <w:rFonts w:eastAsia="Arial" w:cs="Arial"/>
        </w:rPr>
        <w:lastRenderedPageBreak/>
        <w:t>throughout the methodology and interprets the results as conditional on that evidence base.</w:t>
      </w:r>
    </w:p>
    <w:p w14:paraId="27D7D8CF" w14:textId="77777777" w:rsidR="000B6781" w:rsidRDefault="00AE213B">
      <w:pPr>
        <w:pStyle w:val="Heading2"/>
        <w:spacing w:after="120"/>
      </w:pPr>
      <w:bookmarkStart w:id="31" w:name="_Toc244188226"/>
      <w:r>
        <w:rPr>
          <w:rFonts w:ascii="Arial" w:eastAsia="Arial" w:hAnsi="Arial" w:cs="Arial"/>
        </w:rPr>
        <w:t>3.3 Variables and operational definitions</w:t>
      </w:r>
      <w:bookmarkEnd w:id="31"/>
    </w:p>
    <w:tbl>
      <w:tblPr>
        <w:tblStyle w:val="TableGrid"/>
        <w:tblW w:w="9360" w:type="dxa"/>
        <w:tblInd w:w="120" w:type="dxa"/>
        <w:tblLayout w:type="fixed"/>
        <w:tblLook w:val="04A0" w:firstRow="1" w:lastRow="0" w:firstColumn="1" w:lastColumn="0" w:noHBand="0" w:noVBand="1"/>
      </w:tblPr>
      <w:tblGrid>
        <w:gridCol w:w="1800"/>
        <w:gridCol w:w="2700"/>
        <w:gridCol w:w="4860"/>
      </w:tblGrid>
      <w:tr w:rsidR="000B6781" w14:paraId="632F3032" w14:textId="77777777">
        <w:trPr>
          <w:cantSplit/>
          <w:tblHeader/>
        </w:trPr>
        <w:tc>
          <w:tcPr>
            <w:tcW w:w="1800" w:type="dxa"/>
            <w:shd w:val="clear" w:color="auto" w:fill="17365D"/>
            <w:tcMar>
              <w:top w:w="100" w:type="dxa"/>
              <w:left w:w="120" w:type="dxa"/>
              <w:bottom w:w="100" w:type="dxa"/>
              <w:right w:w="120" w:type="dxa"/>
            </w:tcMar>
            <w:vAlign w:val="center"/>
          </w:tcPr>
          <w:p w14:paraId="1EA551A5" w14:textId="77777777" w:rsidR="000B6781" w:rsidRDefault="00AE213B">
            <w:pPr>
              <w:spacing w:after="40" w:line="240" w:lineRule="auto"/>
              <w:jc w:val="center"/>
            </w:pPr>
            <w:r>
              <w:rPr>
                <w:rFonts w:eastAsia="Arial" w:cs="Arial"/>
                <w:b/>
              </w:rPr>
              <w:t>Construct</w:t>
            </w:r>
          </w:p>
        </w:tc>
        <w:tc>
          <w:tcPr>
            <w:tcW w:w="2700" w:type="dxa"/>
            <w:shd w:val="clear" w:color="auto" w:fill="17365D"/>
            <w:tcMar>
              <w:top w:w="100" w:type="dxa"/>
              <w:left w:w="120" w:type="dxa"/>
              <w:bottom w:w="100" w:type="dxa"/>
              <w:right w:w="120" w:type="dxa"/>
            </w:tcMar>
            <w:vAlign w:val="center"/>
          </w:tcPr>
          <w:p w14:paraId="4739F59E" w14:textId="77777777" w:rsidR="000B6781" w:rsidRDefault="00AE213B">
            <w:pPr>
              <w:spacing w:after="40" w:line="240" w:lineRule="auto"/>
              <w:jc w:val="center"/>
            </w:pPr>
            <w:r>
              <w:rPr>
                <w:rFonts w:eastAsia="Arial" w:cs="Arial"/>
                <w:b/>
              </w:rPr>
              <w:t>Measure</w:t>
            </w:r>
          </w:p>
        </w:tc>
        <w:tc>
          <w:tcPr>
            <w:tcW w:w="4860" w:type="dxa"/>
            <w:shd w:val="clear" w:color="auto" w:fill="17365D"/>
            <w:tcMar>
              <w:top w:w="100" w:type="dxa"/>
              <w:left w:w="120" w:type="dxa"/>
              <w:bottom w:w="100" w:type="dxa"/>
              <w:right w:w="120" w:type="dxa"/>
            </w:tcMar>
            <w:vAlign w:val="center"/>
          </w:tcPr>
          <w:p w14:paraId="15907D9A" w14:textId="77777777" w:rsidR="000B6781" w:rsidRDefault="00AE213B">
            <w:pPr>
              <w:spacing w:after="40" w:line="240" w:lineRule="auto"/>
              <w:jc w:val="center"/>
            </w:pPr>
            <w:r>
              <w:rPr>
                <w:rFonts w:eastAsia="Arial" w:cs="Arial"/>
                <w:b/>
              </w:rPr>
              <w:t>Operational definition</w:t>
            </w:r>
          </w:p>
        </w:tc>
      </w:tr>
      <w:tr w:rsidR="000B6781" w14:paraId="65F3C4D6" w14:textId="77777777">
        <w:trPr>
          <w:cantSplit/>
        </w:trPr>
        <w:tc>
          <w:tcPr>
            <w:tcW w:w="1800" w:type="dxa"/>
          </w:tcPr>
          <w:p w14:paraId="2458D14C" w14:textId="77777777" w:rsidR="000B6781" w:rsidRDefault="00AE213B">
            <w:pPr>
              <w:spacing w:after="40" w:line="240" w:lineRule="auto"/>
              <w:jc w:val="left"/>
            </w:pPr>
            <w:r>
              <w:rPr>
                <w:rFonts w:eastAsia="Arial" w:cs="Arial"/>
                <w:b/>
              </w:rPr>
              <w:t>Outcome</w:t>
            </w:r>
          </w:p>
        </w:tc>
        <w:tc>
          <w:tcPr>
            <w:tcW w:w="2700" w:type="dxa"/>
          </w:tcPr>
          <w:p w14:paraId="7E620FFF" w14:textId="77777777" w:rsidR="000B6781" w:rsidRDefault="00AE213B">
            <w:pPr>
              <w:spacing w:after="40" w:line="240" w:lineRule="auto"/>
              <w:jc w:val="left"/>
            </w:pPr>
            <w:r>
              <w:rPr>
                <w:rFonts w:eastAsia="Arial" w:cs="Arial"/>
              </w:rPr>
              <w:t>Class</w:t>
            </w:r>
          </w:p>
        </w:tc>
        <w:tc>
          <w:tcPr>
            <w:tcW w:w="4860" w:type="dxa"/>
          </w:tcPr>
          <w:p w14:paraId="130C9D1B" w14:textId="77777777" w:rsidR="000B6781" w:rsidRDefault="00AE213B">
            <w:pPr>
              <w:spacing w:after="40" w:line="240" w:lineRule="auto"/>
              <w:jc w:val="left"/>
            </w:pPr>
            <w:r>
              <w:rPr>
                <w:rFonts w:eastAsia="Arial" w:cs="Arial"/>
              </w:rPr>
              <w:t>0 = legitimate; 1 = fraud</w:t>
            </w:r>
          </w:p>
        </w:tc>
      </w:tr>
      <w:tr w:rsidR="000B6781" w14:paraId="46A97E52" w14:textId="77777777">
        <w:trPr>
          <w:cantSplit/>
        </w:trPr>
        <w:tc>
          <w:tcPr>
            <w:tcW w:w="1800" w:type="dxa"/>
          </w:tcPr>
          <w:p w14:paraId="53D33024" w14:textId="77777777" w:rsidR="000B6781" w:rsidRDefault="00AE213B">
            <w:pPr>
              <w:spacing w:after="40" w:line="240" w:lineRule="auto"/>
              <w:jc w:val="left"/>
            </w:pPr>
            <w:r>
              <w:rPr>
                <w:rFonts w:eastAsia="Arial" w:cs="Arial"/>
                <w:b/>
              </w:rPr>
              <w:t>Predictors</w:t>
            </w:r>
          </w:p>
        </w:tc>
        <w:tc>
          <w:tcPr>
            <w:tcW w:w="2700" w:type="dxa"/>
          </w:tcPr>
          <w:p w14:paraId="67EAAC38" w14:textId="77777777" w:rsidR="000B6781" w:rsidRDefault="00AE213B">
            <w:pPr>
              <w:spacing w:after="40" w:line="240" w:lineRule="auto"/>
              <w:jc w:val="left"/>
            </w:pPr>
            <w:r>
              <w:rPr>
                <w:rFonts w:eastAsia="Arial" w:cs="Arial"/>
              </w:rPr>
              <w:t>V1-V28</w:t>
            </w:r>
          </w:p>
        </w:tc>
        <w:tc>
          <w:tcPr>
            <w:tcW w:w="4860" w:type="dxa"/>
          </w:tcPr>
          <w:p w14:paraId="30DDC3B3" w14:textId="77777777" w:rsidR="000B6781" w:rsidRDefault="00AE213B">
            <w:pPr>
              <w:spacing w:after="40" w:line="240" w:lineRule="auto"/>
              <w:jc w:val="left"/>
            </w:pPr>
            <w:r>
              <w:rPr>
                <w:rFonts w:eastAsia="Arial" w:cs="Arial"/>
              </w:rPr>
              <w:t>Anonymised PCA components; original business meanings unavailable</w:t>
            </w:r>
          </w:p>
        </w:tc>
      </w:tr>
      <w:tr w:rsidR="000B6781" w14:paraId="550BE781" w14:textId="77777777">
        <w:trPr>
          <w:cantSplit/>
        </w:trPr>
        <w:tc>
          <w:tcPr>
            <w:tcW w:w="1800" w:type="dxa"/>
          </w:tcPr>
          <w:p w14:paraId="6F5FF6E3" w14:textId="77777777" w:rsidR="000B6781" w:rsidRDefault="00AE213B">
            <w:pPr>
              <w:spacing w:after="40" w:line="240" w:lineRule="auto"/>
              <w:jc w:val="left"/>
            </w:pPr>
            <w:r>
              <w:rPr>
                <w:rFonts w:eastAsia="Arial" w:cs="Arial"/>
                <w:b/>
              </w:rPr>
              <w:t>Predictors</w:t>
            </w:r>
          </w:p>
        </w:tc>
        <w:tc>
          <w:tcPr>
            <w:tcW w:w="2700" w:type="dxa"/>
          </w:tcPr>
          <w:p w14:paraId="4F8F6045" w14:textId="77777777" w:rsidR="000B6781" w:rsidRDefault="00AE213B">
            <w:pPr>
              <w:spacing w:after="40" w:line="240" w:lineRule="auto"/>
              <w:jc w:val="left"/>
            </w:pPr>
            <w:r>
              <w:rPr>
                <w:rFonts w:eastAsia="Arial" w:cs="Arial"/>
              </w:rPr>
              <w:t>Time and Amount</w:t>
            </w:r>
          </w:p>
        </w:tc>
        <w:tc>
          <w:tcPr>
            <w:tcW w:w="4860" w:type="dxa"/>
          </w:tcPr>
          <w:p w14:paraId="4A6D1002" w14:textId="77777777" w:rsidR="00757FB5" w:rsidRDefault="00AE213B">
            <w:pPr>
              <w:spacing w:after="40" w:line="240" w:lineRule="auto"/>
              <w:jc w:val="left"/>
            </w:pPr>
            <w:r>
              <w:rPr>
                <w:rFonts w:eastAsia="Arial" w:cs="Arial"/>
              </w:rPr>
              <w:t>Elapsed seconds and transaction amount; scaled using training data only</w:t>
            </w:r>
          </w:p>
        </w:tc>
      </w:tr>
      <w:tr w:rsidR="000B6781" w14:paraId="5DA3D8E8" w14:textId="77777777">
        <w:trPr>
          <w:cantSplit/>
        </w:trPr>
        <w:tc>
          <w:tcPr>
            <w:tcW w:w="1800" w:type="dxa"/>
          </w:tcPr>
          <w:p w14:paraId="44BD2458" w14:textId="77777777" w:rsidR="000B6781" w:rsidRDefault="00AE213B">
            <w:pPr>
              <w:spacing w:after="40" w:line="240" w:lineRule="auto"/>
              <w:jc w:val="left"/>
            </w:pPr>
            <w:r>
              <w:rPr>
                <w:rFonts w:eastAsia="Arial" w:cs="Arial"/>
                <w:b/>
              </w:rPr>
              <w:t>Performance</w:t>
            </w:r>
          </w:p>
        </w:tc>
        <w:tc>
          <w:tcPr>
            <w:tcW w:w="2700" w:type="dxa"/>
          </w:tcPr>
          <w:p w14:paraId="27280DB3" w14:textId="77777777" w:rsidR="000B6781" w:rsidRDefault="00AE213B">
            <w:pPr>
              <w:spacing w:after="40" w:line="240" w:lineRule="auto"/>
              <w:jc w:val="left"/>
            </w:pPr>
            <w:r>
              <w:rPr>
                <w:rFonts w:eastAsia="Arial" w:cs="Arial"/>
              </w:rPr>
              <w:t>Precision, recall, F1, ROC-AUC, PR-AUC</w:t>
            </w:r>
          </w:p>
        </w:tc>
        <w:tc>
          <w:tcPr>
            <w:tcW w:w="4860" w:type="dxa"/>
          </w:tcPr>
          <w:p w14:paraId="46A25BAD" w14:textId="77777777" w:rsidR="000B6781" w:rsidRDefault="00AE213B">
            <w:pPr>
              <w:spacing w:after="40" w:line="240" w:lineRule="auto"/>
              <w:jc w:val="left"/>
            </w:pPr>
            <w:r>
              <w:rPr>
                <w:rFonts w:eastAsia="Arial" w:cs="Arial"/>
              </w:rPr>
              <w:t>Computed on untouched test data; confusion matrix reported</w:t>
            </w:r>
          </w:p>
        </w:tc>
      </w:tr>
      <w:tr w:rsidR="000B6781" w14:paraId="2913C041" w14:textId="77777777">
        <w:trPr>
          <w:cantSplit/>
        </w:trPr>
        <w:tc>
          <w:tcPr>
            <w:tcW w:w="1800" w:type="dxa"/>
          </w:tcPr>
          <w:p w14:paraId="71C52D0C" w14:textId="77777777" w:rsidR="000B6781" w:rsidRDefault="00AE213B">
            <w:pPr>
              <w:spacing w:after="40" w:line="240" w:lineRule="auto"/>
              <w:jc w:val="left"/>
            </w:pPr>
            <w:r>
              <w:rPr>
                <w:rFonts w:eastAsia="Arial" w:cs="Arial"/>
                <w:b/>
              </w:rPr>
              <w:t>Explainability</w:t>
            </w:r>
          </w:p>
        </w:tc>
        <w:tc>
          <w:tcPr>
            <w:tcW w:w="2700" w:type="dxa"/>
          </w:tcPr>
          <w:p w14:paraId="345E0D5C" w14:textId="77777777" w:rsidR="000B6781" w:rsidRDefault="00AE213B">
            <w:pPr>
              <w:spacing w:after="40" w:line="240" w:lineRule="auto"/>
              <w:jc w:val="left"/>
            </w:pPr>
            <w:r>
              <w:rPr>
                <w:rFonts w:eastAsia="Arial" w:cs="Arial"/>
              </w:rPr>
              <w:t>SHAP and LIME outputs</w:t>
            </w:r>
          </w:p>
        </w:tc>
        <w:tc>
          <w:tcPr>
            <w:tcW w:w="4860" w:type="dxa"/>
          </w:tcPr>
          <w:p w14:paraId="173360C2" w14:textId="77777777" w:rsidR="000B6781" w:rsidRDefault="00AE213B">
            <w:pPr>
              <w:spacing w:after="40" w:line="240" w:lineRule="auto"/>
              <w:jc w:val="left"/>
            </w:pPr>
            <w:r>
              <w:rPr>
                <w:rFonts w:eastAsia="Arial" w:cs="Arial"/>
              </w:rPr>
              <w:t>Global ranking, local attributions, cross-method agreement and stability</w:t>
            </w:r>
          </w:p>
        </w:tc>
      </w:tr>
    </w:tbl>
    <w:p w14:paraId="75C345EB" w14:textId="77777777" w:rsidR="000B6781" w:rsidRDefault="00AE213B">
      <w:pPr>
        <w:pStyle w:val="Heading2"/>
        <w:spacing w:after="120"/>
      </w:pPr>
      <w:bookmarkStart w:id="32" w:name="_Toc244188227"/>
      <w:r>
        <w:rPr>
          <w:rFonts w:ascii="Arial" w:eastAsia="Arial" w:hAnsi="Arial" w:cs="Arial"/>
        </w:rPr>
        <w:t>3.4 Data preparation and leakage control</w:t>
      </w:r>
      <w:bookmarkEnd w:id="32"/>
    </w:p>
    <w:p w14:paraId="5F5E2D13" w14:textId="77777777" w:rsidR="000B6781" w:rsidRDefault="00AE213B">
      <w:pPr>
        <w:pStyle w:val="ListBullet"/>
        <w:ind w:left="540" w:hanging="279"/>
      </w:pPr>
      <w:r>
        <w:rPr>
          <w:rFonts w:eastAsia="Arial" w:cs="Arial"/>
        </w:rPr>
        <w:t>The original CSV was loaded without modification, and its schema, types, row count, class distribution, missing values, duplicates and summary statistics were validated.</w:t>
      </w:r>
    </w:p>
    <w:p w14:paraId="3AF4108A" w14:textId="77777777" w:rsidR="000B6781" w:rsidRDefault="00AE213B">
      <w:pPr>
        <w:pStyle w:val="ListBullet"/>
        <w:ind w:left="540" w:hanging="279"/>
      </w:pPr>
      <w:r>
        <w:rPr>
          <w:rFonts w:eastAsia="Arial" w:cs="Arial"/>
        </w:rPr>
        <w:t>A stratified 80:20 train-test split was created using random seed 42. The test partition was locked and did not inform scaling, resampling or model fitting.</w:t>
      </w:r>
    </w:p>
    <w:p w14:paraId="402B416B" w14:textId="77777777" w:rsidR="000B6781" w:rsidRDefault="00AE213B">
      <w:pPr>
        <w:pStyle w:val="ListBullet"/>
        <w:ind w:left="540" w:hanging="279"/>
      </w:pPr>
      <w:r>
        <w:rPr>
          <w:rFonts w:eastAsia="Arial" w:cs="Arial"/>
        </w:rPr>
        <w:t>RobustScaler was fitted to Time and Amount using training data only. The PCA variables were retained in their supplied form.</w:t>
      </w:r>
    </w:p>
    <w:p w14:paraId="5679840E" w14:textId="77777777" w:rsidR="000B6781" w:rsidRDefault="00AE213B">
      <w:pPr>
        <w:pStyle w:val="ListBullet"/>
        <w:ind w:left="540" w:hanging="279"/>
      </w:pPr>
      <w:r>
        <w:rPr>
          <w:rFonts w:eastAsia="Arial" w:cs="Arial"/>
        </w:rPr>
        <w:t>All 394 training fraud cases and a reproducible sample of 30,000 legitimate training cases were retained. SMOTE with five nearest neighbours was applied only to this reduced training set, producing 60,000 balanced training observations. The test set was never oversampled.</w:t>
      </w:r>
    </w:p>
    <w:p w14:paraId="0ECBF34B" w14:textId="77777777" w:rsidR="000B6781" w:rsidRDefault="00AE213B">
      <w:pPr>
        <w:pStyle w:val="ListBullet"/>
        <w:ind w:left="540" w:hanging="279"/>
      </w:pPr>
      <w:r>
        <w:rPr>
          <w:rFonts w:eastAsia="Arial" w:cs="Arial"/>
        </w:rPr>
        <w:t>Model configurations, package versions, random seeds, execution timings and generated outputs were retained to support exact reruns.</w:t>
      </w:r>
    </w:p>
    <w:p w14:paraId="41412E6E" w14:textId="77777777" w:rsidR="000B6781" w:rsidRDefault="00AE213B">
      <w:r>
        <w:rPr>
          <w:rFonts w:eastAsia="Arial" w:cs="Arial"/>
        </w:rPr>
        <w:t>This design addressed leakage and reproducibility through an untouched test set and train-only scaling and resampling. Alternative imbalance strategies, such as class weights or random under-sampling, were not included in the approved primary analysis and remain candidates for future sensitivity analysis.</w:t>
      </w:r>
    </w:p>
    <w:p w14:paraId="7C9F15E9" w14:textId="77777777" w:rsidR="0070366D" w:rsidRDefault="00DF4816">
      <w:r>
        <w:rPr>
          <w:rFonts w:eastAsia="Arial" w:cs="Arial"/>
        </w:rPr>
        <w:t xml:space="preserve">The preparation sequence was designed so that no information from the test set influenced model fitting. The target was separated from the predictors before a stratified split preserved the rare positive class in both partitions. Scaling parameters were estimated only on training observations. Resampling methods were then applied only to the transformed training data, while the test set remained at its natural prevalence. This </w:t>
      </w:r>
      <w:r>
        <w:rPr>
          <w:rFonts w:eastAsia="Arial" w:cs="Arial"/>
        </w:rPr>
        <w:lastRenderedPageBreak/>
        <w:t>order is important because a balanced test set would overstate the positive predictive value expected in the original distribution. It would also make false-positive counts difficult to interpret as a prospective alert burden. The untouched test set therefore serves as the common basis for every reported metric and confusion matrix.</w:t>
      </w:r>
    </w:p>
    <w:p w14:paraId="7E1897AF" w14:textId="77777777" w:rsidR="0070366D" w:rsidRDefault="00DF4816">
      <w:r>
        <w:rPr>
          <w:rFonts w:eastAsia="Arial" w:cs="Arial"/>
        </w:rPr>
        <w:t>Two training-set interventions were retained because they test different approaches to imbalance. Majority-class undersampling reduces the number of legitimate observations and can make training more manageable, but it discards information about the normal class. SMOTE retains the available minority observations and creates synthetic points between nearby minority cases (Chawla et al., 2002). Synthetic examples are not new observed fraud events, so they were used only to shape the training process and were never included in evaluation. The fixed split and deterministic seeds ensure that differences among model results are attributable to the defined workflows rather than to uncontrolled changes in test composition.</w:t>
      </w:r>
    </w:p>
    <w:p w14:paraId="10800126" w14:textId="77777777" w:rsidR="000B6781" w:rsidRDefault="00AE213B">
      <w:pPr>
        <w:pStyle w:val="Heading2"/>
        <w:spacing w:after="120"/>
      </w:pPr>
      <w:bookmarkStart w:id="33" w:name="_Toc244188228"/>
      <w:r>
        <w:rPr>
          <w:rFonts w:ascii="Arial" w:eastAsia="Arial" w:hAnsi="Arial" w:cs="Arial"/>
        </w:rPr>
        <w:t>3.5 Model development</w:t>
      </w:r>
      <w:bookmarkEnd w:id="33"/>
    </w:p>
    <w:p w14:paraId="19B8C9ED" w14:textId="77777777" w:rsidR="000B6781" w:rsidRDefault="00AE213B">
      <w:r>
        <w:rPr>
          <w:rFonts w:eastAsia="Arial" w:cs="Arial"/>
        </w:rPr>
        <w:t>Five classifiers were implemented in scikit-learn: Logistic Regression, Decision Tree, Random Forest, linear SVM and k-NN. The bounded configurations were Logistic Regression with max_iter=1,000; Decision Tree with max_depth=12 and min_samples_leaf=5; Random Forest with 100 trees, max_depth=15 and min_samples_leaf=2; Linear SVM with C=1.0 and max_iter=5,000; and distance-weighted k-NN with k=5. Fixed settings were used to keep the comparison reproducible and computationally feasible.</w:t>
      </w:r>
    </w:p>
    <w:p w14:paraId="612748A3" w14:textId="77777777" w:rsidR="000B6781" w:rsidRDefault="00AE213B">
      <w:r>
        <w:rPr>
          <w:rFonts w:eastAsia="Arial" w:cs="Arial"/>
        </w:rPr>
        <w:t>F1-score and PR-AUC were the primary selection criteria because they reflect minority-class performance under severe imbalance. Recall and precision were treated as complementary operational indicators because false negatives and false positives represent different harms. Accuracy was reported for completeness but did not determine the selected model. Random Forest was retained for explanation analysis because it achieved the strongest combined F1-score and PR-AUC.</w:t>
      </w:r>
    </w:p>
    <w:p w14:paraId="3B1A7041" w14:textId="77777777" w:rsidR="0070366D" w:rsidRDefault="00DF4816">
      <w:r>
        <w:rPr>
          <w:rFonts w:eastAsia="Arial" w:cs="Arial"/>
        </w:rPr>
        <w:t xml:space="preserve">The model set was selected to provide interpretable baselines and non-linear alternatives without turning the study into an unrestricted hyperparameter search. Logistic Regression and linear SVM test whether a linear boundary is sufficient after preprocessing. Decision Tree offers an explicit non-linear rule structure but may overfit rare examples. k-NN represents a local distance-based method whose behaviour is strongly affected by scale and neighbourhood composition. Random Forest aggregates many trees and can capture interactions while reducing the variance of a single tree (Hastie, Tibshirani and Friedman, </w:t>
      </w:r>
      <w:r>
        <w:rPr>
          <w:rFonts w:eastAsia="Arial" w:cs="Arial"/>
        </w:rPr>
        <w:lastRenderedPageBreak/>
        <w:t>2009). Using fixed configurations supports a transparent comparison, although it means the reported ranking is not a claim that every model was tuned to its maximum possible performance.</w:t>
      </w:r>
    </w:p>
    <w:p w14:paraId="00513BB1" w14:textId="77777777" w:rsidR="000B6781" w:rsidRDefault="00AE213B">
      <w:pPr>
        <w:pStyle w:val="Heading2"/>
        <w:spacing w:after="120"/>
      </w:pPr>
      <w:bookmarkStart w:id="34" w:name="_Toc244188229"/>
      <w:r>
        <w:rPr>
          <w:rFonts w:ascii="Arial" w:eastAsia="Arial" w:hAnsi="Arial" w:cs="Arial"/>
        </w:rPr>
        <w:t>3.6 Evaluation and hypothesis testing</w:t>
      </w:r>
      <w:bookmarkEnd w:id="34"/>
    </w:p>
    <w:p w14:paraId="476BB31E" w14:textId="77777777" w:rsidR="000B6781" w:rsidRDefault="00AE213B">
      <w:r>
        <w:rPr>
          <w:rFonts w:eastAsia="Arial" w:cs="Arial"/>
        </w:rPr>
        <w:t>For each model, the confusion matrix, accuracy, precision, recall, F1-score, ROC-AUC and PR-AUC were calculated on the untouched test set using predicted labels, probabilities or decision scores as appropriate. The same default classification threshold and the same test cases were used for all models to support comparability. Model rankings across the imbalance-sensitive metrics were used to evaluate H1. SHAP-LIME feature overlap and repeated LIME stability were used to evaluate H2. H3 was evaluated as a contextual governance proposition by synthesising model performance, error trade-offs and explanation evidence with SABRIC-reported risks, dataset limitations and POPIA-informed requirements; it was not treated as a statistical test of current South African banking data.</w:t>
      </w:r>
    </w:p>
    <w:p w14:paraId="09C35A1F" w14:textId="77777777" w:rsidR="000B6781" w:rsidRDefault="00AE213B">
      <w:r>
        <w:rPr>
          <w:rFonts w:eastAsia="Arial" w:cs="Arial"/>
        </w:rPr>
        <w:t>Because all models were evaluated on the same test cases, differences were interpreted through their magnitude, ranking and confusion-matrix costs. The completed analysis did not estimate confidence intervals or optimise thresholds; these remain limitations and future-work priorities rather than completed procedures.</w:t>
      </w:r>
    </w:p>
    <w:p w14:paraId="26651F6B" w14:textId="77777777" w:rsidR="0070366D" w:rsidRDefault="00DF4816">
      <w:r>
        <w:rPr>
          <w:rFonts w:eastAsia="Arial" w:cs="Arial"/>
        </w:rPr>
        <w:t>The hypotheses were evaluated through converging evidence rather than a single significance test. H1 concerned comparative predictive performance and was assessed using recall, precision, F1-score, ROC-AUC, PR-AUC and confusion-matrix counts on the shared test set. H2 concerned explainability and was assessed through global SHAP rankings, selected local SHAP and LIME explanations, top-feature agreement and repeated LIME stability. H3 concerned South African applicability and was assessed by comparing the experimental evidence with local crime reporting, POPIA obligations and the dataset's geographic and temporal limits. This approach matches the applied research questions: the aim is to determine which claims the evidence supports, not to infer a population parameter from repeated independent samples.</w:t>
      </w:r>
    </w:p>
    <w:p w14:paraId="107322A4" w14:textId="77777777" w:rsidR="0070366D" w:rsidRDefault="00DF4816">
      <w:r>
        <w:rPr>
          <w:rFonts w:eastAsia="Arial" w:cs="Arial"/>
        </w:rPr>
        <w:t xml:space="preserve">Threshold dependence was retained as an explicit limitation. The confusion matrices reflect the classifiers' implemented decision rules, but a bank could move a threshold to prioritise recall or reduce false positives. Such a change would alter precision, workload and missed-fraud counts simultaneously. Reporting threshold-independent ranking measures alongside fixed-threshold counts therefore provides a fuller account than either view alone. ROC-AUC and PR-AUC describe ranking across thresholds, while the </w:t>
      </w:r>
      <w:r>
        <w:rPr>
          <w:rFonts w:eastAsia="Arial" w:cs="Arial"/>
        </w:rPr>
        <w:lastRenderedPageBreak/>
        <w:t>confusion matrix describes the actual outcomes under the tested configuration. Future deployment work would need cost-sensitive threshold selection using local fraud losses, customer-friction costs and investigation capacity.</w:t>
      </w:r>
    </w:p>
    <w:p w14:paraId="2C04AE18" w14:textId="77777777" w:rsidR="000B6781" w:rsidRDefault="00AE213B">
      <w:pPr>
        <w:pStyle w:val="Heading2"/>
        <w:spacing w:after="120"/>
      </w:pPr>
      <w:bookmarkStart w:id="35" w:name="_Toc244188230"/>
      <w:r>
        <w:rPr>
          <w:rFonts w:ascii="Arial" w:eastAsia="Arial" w:hAnsi="Arial" w:cs="Arial"/>
        </w:rPr>
        <w:t>3.7 Explainability protocol</w:t>
      </w:r>
      <w:bookmarkEnd w:id="35"/>
    </w:p>
    <w:p w14:paraId="4A979141" w14:textId="77777777" w:rsidR="000B6781" w:rsidRDefault="00AE213B">
      <w:r>
        <w:rPr>
          <w:rFonts w:eastAsia="Arial" w:cs="Arial"/>
        </w:rPr>
        <w:t>The best-performing model, Random Forest, proceeded to explanation analysis. TreeSHAP was applied to a reproducible 500-case test sample containing all 98 fraud observations and 402 sampled legitimate observations. Global outputs included mean absolute SHAP values, and local SHAP values were retained for a representative true positive, false positive, true negative and false negative.</w:t>
      </w:r>
    </w:p>
    <w:p w14:paraId="33AC4FD8" w14:textId="77777777" w:rsidR="000B6781" w:rsidRDefault="00AE213B">
      <w:r>
        <w:rPr>
          <w:rFonts w:eastAsia="Arial" w:cs="Arial"/>
        </w:rPr>
        <w:t>LIME explained the same four selected cases using a balanced 5,000-record training reference sample. Each explanation was repeated five times with documented random seeds. Top-five SHAP-LIME agreement was measured using Jaccard similarity, and mean pairwise Jaccard similarity across the repeated LIME runs measured local stability. Explanations were interpreted as associations with model output, not as causal effects or recoveries of the hidden meanings of PCA variables.</w:t>
      </w:r>
    </w:p>
    <w:p w14:paraId="747FD427" w14:textId="77777777" w:rsidR="0070366D" w:rsidRDefault="00DF4816">
      <w:r>
        <w:rPr>
          <w:rFonts w:eastAsia="Arial" w:cs="Arial"/>
        </w:rPr>
        <w:t>The explainability protocol separated global and local questions. Mean absolute SHAP values were computed across the selected sample to rank features by the average magnitude of their contributions. The ranking shows which transformed variables most influenced the Random Forest within that sample, but it does not indicate whether a feature always increases fraud probability. Local analysis then examined a true positive, false positive, true negative and false negative so that explanation quality was not judged only on successful predictions. For each case, the leading SHAP and LIME features were compared using set agreement, and LIME was repeated to estimate whether its selected features remained consistent across perturbation runs. This design treats error cases as essential evidence about model behaviour.</w:t>
      </w:r>
    </w:p>
    <w:p w14:paraId="66FACF55" w14:textId="77777777" w:rsidR="000B6781" w:rsidRDefault="00AE213B">
      <w:pPr>
        <w:pStyle w:val="Heading2"/>
        <w:spacing w:after="120"/>
      </w:pPr>
      <w:bookmarkStart w:id="36" w:name="_Toc244188231"/>
      <w:r>
        <w:rPr>
          <w:rFonts w:ascii="Arial" w:eastAsia="Arial" w:hAnsi="Arial" w:cs="Arial"/>
        </w:rPr>
        <w:t>3.8 XAI-first model-selection decision</w:t>
      </w:r>
      <w:bookmarkEnd w:id="36"/>
    </w:p>
    <w:p w14:paraId="3EF0D0C3" w14:textId="77777777" w:rsidR="000B6781" w:rsidRDefault="00AE213B">
      <w:r>
        <w:rPr>
          <w:rFonts w:eastAsia="Arial" w:cs="Arial"/>
        </w:rPr>
        <w:t>Final interpretation used predictive performance, error trade-offs, explanation agreement, local stability and governance limits as connected evidence. Random Forest was preferred because its performance gain was operationally meaningful and it remained feasible to explain with SHAP and LIME. The recommendation was nevertheless bounded by the dataset's age, European origin, anonymised variables and the absence of local deployment validation.</w:t>
      </w:r>
    </w:p>
    <w:p w14:paraId="37859D5C" w14:textId="77777777" w:rsidR="000B6781" w:rsidRDefault="00AE213B">
      <w:pPr>
        <w:pStyle w:val="Heading2"/>
        <w:spacing w:after="120"/>
      </w:pPr>
      <w:bookmarkStart w:id="37" w:name="_Toc244188232"/>
      <w:r>
        <w:rPr>
          <w:rFonts w:ascii="Arial" w:eastAsia="Arial" w:hAnsi="Arial" w:cs="Arial"/>
        </w:rPr>
        <w:lastRenderedPageBreak/>
        <w:t>3.9 Reliability, validity and reproducibility</w:t>
      </w:r>
      <w:bookmarkEnd w:id="37"/>
    </w:p>
    <w:p w14:paraId="1BF2A811" w14:textId="77777777" w:rsidR="000B6781" w:rsidRDefault="00AE213B">
      <w:pPr>
        <w:pStyle w:val="ListBullet"/>
        <w:ind w:left="540" w:hanging="279"/>
      </w:pPr>
      <w:r>
        <w:rPr>
          <w:rFonts w:eastAsia="Arial" w:cs="Arial"/>
        </w:rPr>
        <w:t>Internal validity: identical partitions and train-only preprocessing reduced confounding and leakage.</w:t>
      </w:r>
    </w:p>
    <w:p w14:paraId="47265F41" w14:textId="77777777" w:rsidR="000B6781" w:rsidRDefault="00AE213B">
      <w:pPr>
        <w:pStyle w:val="ListBullet"/>
        <w:ind w:left="540" w:hanging="279"/>
      </w:pPr>
      <w:r>
        <w:rPr>
          <w:rFonts w:eastAsia="Arial" w:cs="Arial"/>
        </w:rPr>
        <w:t>Construct validity: multiple imbalance-sensitive metrics represent distinct aspects of fraud-detection performance.</w:t>
      </w:r>
    </w:p>
    <w:p w14:paraId="26211A9B" w14:textId="77777777" w:rsidR="000B6781" w:rsidRDefault="00AE213B">
      <w:pPr>
        <w:pStyle w:val="ListBullet"/>
        <w:ind w:left="540" w:hanging="279"/>
      </w:pPr>
      <w:r>
        <w:rPr>
          <w:rFonts w:eastAsia="Arial" w:cs="Arial"/>
        </w:rPr>
        <w:t>Reliability: fixed seeds, versioned code, saved configurations and deterministic data checks support repeatability.</w:t>
      </w:r>
    </w:p>
    <w:p w14:paraId="5F06658D" w14:textId="77777777" w:rsidR="000B6781" w:rsidRDefault="00AE213B">
      <w:pPr>
        <w:pStyle w:val="ListBullet"/>
        <w:ind w:left="540" w:hanging="279"/>
      </w:pPr>
      <w:r>
        <w:rPr>
          <w:rFonts w:eastAsia="Arial" w:cs="Arial"/>
        </w:rPr>
        <w:t>External validity: conclusions are restricted to methodological behaviour on the benchmark; local generalisation is not claimed.</w:t>
      </w:r>
    </w:p>
    <w:p w14:paraId="1372C9BC" w14:textId="77777777" w:rsidR="000B6781" w:rsidRDefault="00AE213B">
      <w:pPr>
        <w:pStyle w:val="ListBullet"/>
        <w:ind w:left="540" w:hanging="279"/>
      </w:pPr>
      <w:r>
        <w:rPr>
          <w:rFonts w:eastAsia="Arial" w:cs="Arial"/>
        </w:rPr>
        <w:t>Explanation validity: repeated runs, agreement measures and case stratification expose method sensitivity rather than presenting one explanation as definitive.</w:t>
      </w:r>
    </w:p>
    <w:p w14:paraId="35B20046" w14:textId="77777777" w:rsidR="000B6781" w:rsidRDefault="00AE213B">
      <w:pPr>
        <w:pStyle w:val="ListBullet"/>
        <w:ind w:left="540" w:hanging="279"/>
      </w:pPr>
      <w:r>
        <w:rPr>
          <w:rFonts w:eastAsia="Arial" w:cs="Arial"/>
        </w:rPr>
        <w:t>Reproducibility: analysis scripts, package versions, random seeds, data checksum, result tables and plot-generation code were retained.</w:t>
      </w:r>
    </w:p>
    <w:p w14:paraId="08C14225" w14:textId="77777777" w:rsidR="0070366D" w:rsidRDefault="00DF4816">
      <w:r>
        <w:rPr>
          <w:rFonts w:eastAsia="Arial" w:cs="Arial"/>
        </w:rPr>
        <w:t>Reproducibility was supported at four levels. Data-level controls recorded the source, class distribution and split. Pipeline controls fixed the order of scaling, resampling, training and evaluation. Computational controls retained random seeds, model configurations and generated outputs. Reporting controls linked figures and tables to saved CSV and JSON artefacts. These measures allow the analysis to be rerun and checked, but reproducibility should not be confused with external validity. A perfectly repeatable result on the benchmark data may still fail on a different institution, period or fraud pattern. The report therefore separates repeatability of the experiment from transferability of its conclusions.</w:t>
      </w:r>
    </w:p>
    <w:p w14:paraId="79132834" w14:textId="77777777" w:rsidR="000B6781" w:rsidRDefault="00AE213B">
      <w:pPr>
        <w:pStyle w:val="Heading2"/>
        <w:spacing w:after="120"/>
      </w:pPr>
      <w:bookmarkStart w:id="38" w:name="_Toc244188233"/>
      <w:r>
        <w:rPr>
          <w:rFonts w:ascii="Arial" w:eastAsia="Arial" w:hAnsi="Arial" w:cs="Arial"/>
        </w:rPr>
        <w:t>3.10 Ethical and legal considerations</w:t>
      </w:r>
      <w:bookmarkEnd w:id="38"/>
    </w:p>
    <w:p w14:paraId="6EFA5DE1" w14:textId="77777777" w:rsidR="000B6781" w:rsidRDefault="00AE213B">
      <w:r>
        <w:rPr>
          <w:rFonts w:eastAsia="Arial" w:cs="Arial"/>
        </w:rPr>
        <w:t>The IIE approved the proposal and granted ethics clearance under reference EMCSREC/EMGPSD/3/2026 on 3 August 2026. The study used public, anonymised secondary data and did not recruit participants, contact cardholders or process direct identifiers. Research files were kept within the controlled project workspace. Dataset attribution and applicable Kaggle terms were respected.</w:t>
      </w:r>
    </w:p>
    <w:p w14:paraId="15F07ED8" w14:textId="77777777" w:rsidR="000B6781" w:rsidRDefault="00AE213B">
      <w:r>
        <w:rPr>
          <w:rFonts w:eastAsia="Arial" w:cs="Arial"/>
        </w:rPr>
        <w:t xml:space="preserve">Ethical risk remained despite anonymisation. The dataset's European origin and age limited fairness and relevance claims; PCA transformation constrained meaningful explanation; and a technically accurate model could still cause harm if deployed without monitoring and human review. These issues were addressed through bounded claims, transparent reporting, error analysis and an explicit statement that the study is an academic benchmark. Any material future change to the topic, dataset or methodology </w:t>
      </w:r>
      <w:r>
        <w:rPr>
          <w:rFonts w:eastAsia="Arial" w:cs="Arial"/>
        </w:rPr>
        <w:lastRenderedPageBreak/>
        <w:t>would require consultation with the supervisor and, where required, revised ethics clearance.</w:t>
      </w:r>
    </w:p>
    <w:p w14:paraId="463EF2EB" w14:textId="77777777" w:rsidR="0070366D" w:rsidRDefault="00DF4816">
      <w:r>
        <w:rPr>
          <w:rFonts w:eastAsia="Arial" w:cs="Arial"/>
        </w:rPr>
        <w:t>The ethics waiver reflects the use of anonymised secondary data and the absence of participant contact, but it does not remove the need for responsible analytical practice. The study avoided attempts to reverse the principal-component transformation, reported the dataset's origin and age, and limited claims about South African customers. It also documented AI-assisted work and retained responsibility for checking the analysis and sources. If the workflow were transferred to identifiable banking data, additional controls would be required for lawful processing, access limitation, retention, security and review of automated decisions. Ethical acceptability would then depend on the proposed operational use and its effects, not only on whether the model achieved a strong score.</w:t>
      </w:r>
    </w:p>
    <w:p w14:paraId="77FA0207" w14:textId="77777777" w:rsidR="000B6781" w:rsidRDefault="00AE213B">
      <w:pPr>
        <w:pStyle w:val="Heading2"/>
        <w:spacing w:after="120"/>
      </w:pPr>
      <w:bookmarkStart w:id="39" w:name="_Toc244188234"/>
      <w:r>
        <w:rPr>
          <w:rFonts w:ascii="Arial" w:eastAsia="Arial" w:hAnsi="Arial" w:cs="Arial"/>
        </w:rPr>
        <w:t>3.11 Data management</w:t>
      </w:r>
      <w:bookmarkEnd w:id="39"/>
    </w:p>
    <w:p w14:paraId="4D2CAC85" w14:textId="77777777" w:rsidR="000B6781" w:rsidRDefault="00AE213B">
      <w:r>
        <w:rPr>
          <w:rFonts w:eastAsia="Arial" w:cs="Arial"/>
        </w:rPr>
        <w:t>The original dataset was preserved unchanged. Derived data, analysis summaries, model metrics and XAI outputs were stored in the structured project workspace. Code and documentation recorded provenance, package versions, random seeds and processing decisions. Any sharing of the raw dataset or derived artefacts remains subject to dataset terms, supervisor guidance and institutional requirements.</w:t>
      </w:r>
    </w:p>
    <w:p w14:paraId="45E34C66" w14:textId="77777777" w:rsidR="000B6781" w:rsidRDefault="00AE213B">
      <w:pPr>
        <w:pStyle w:val="Heading2"/>
        <w:spacing w:after="120"/>
      </w:pPr>
      <w:bookmarkStart w:id="40" w:name="_Toc244188235"/>
      <w:r>
        <w:rPr>
          <w:rFonts w:ascii="Arial" w:eastAsia="Arial" w:hAnsi="Arial" w:cs="Arial"/>
        </w:rPr>
        <w:t>3.12 Limitations and mitigation</w:t>
      </w:r>
      <w:bookmarkEnd w:id="40"/>
    </w:p>
    <w:p w14:paraId="3BF6B5FA" w14:textId="77777777" w:rsidR="000B6781" w:rsidRDefault="00AE213B">
      <w:pPr>
        <w:pStyle w:val="ListBullet"/>
        <w:ind w:left="540" w:hanging="279"/>
      </w:pPr>
      <w:r>
        <w:rPr>
          <w:rFonts w:eastAsia="Arial" w:cs="Arial"/>
        </w:rPr>
        <w:t>Geographic mismatch: European transactions do not establish South African model performance. Mitigation: restrict claims to benchmarking and contextual interpretation.</w:t>
      </w:r>
    </w:p>
    <w:p w14:paraId="02B01842" w14:textId="77777777" w:rsidR="000B6781" w:rsidRDefault="00AE213B">
      <w:pPr>
        <w:pStyle w:val="ListBullet"/>
        <w:ind w:left="540" w:hanging="279"/>
      </w:pPr>
      <w:r>
        <w:rPr>
          <w:rFonts w:eastAsia="Arial" w:cs="Arial"/>
        </w:rPr>
        <w:t>Dataset age: September 2013 patterns may not reflect contemporary fraud. Mitigation: focus on method comparison and identify temporal validation as future work.</w:t>
      </w:r>
    </w:p>
    <w:p w14:paraId="389F46B0" w14:textId="77777777" w:rsidR="000B6781" w:rsidRDefault="00AE213B">
      <w:pPr>
        <w:pStyle w:val="ListBullet"/>
        <w:ind w:left="540" w:hanging="279"/>
      </w:pPr>
      <w:r>
        <w:rPr>
          <w:rFonts w:eastAsia="Arial" w:cs="Arial"/>
        </w:rPr>
        <w:t>PCA opacity: V1-V28 have no disclosed business meaning. Mitigation: explain model behaviour at component level and avoid operational feature narratives.</w:t>
      </w:r>
    </w:p>
    <w:p w14:paraId="516795F2" w14:textId="77777777" w:rsidR="000B6781" w:rsidRDefault="00AE213B">
      <w:pPr>
        <w:pStyle w:val="ListBullet"/>
        <w:ind w:left="540" w:hanging="279"/>
      </w:pPr>
      <w:r>
        <w:rPr>
          <w:rFonts w:eastAsia="Arial" w:cs="Arial"/>
        </w:rPr>
        <w:t>Class rarity: only 492 fraud cases limit stable subgroup analysis. Mitigation: stratified design, appropriate metrics and uncertainty reporting.</w:t>
      </w:r>
    </w:p>
    <w:p w14:paraId="0DF044C0" w14:textId="77777777" w:rsidR="000B6781" w:rsidRDefault="00AE213B">
      <w:pPr>
        <w:pStyle w:val="ListBullet"/>
        <w:ind w:left="540" w:hanging="279"/>
      </w:pPr>
      <w:r>
        <w:rPr>
          <w:rFonts w:eastAsia="Arial" w:cs="Arial"/>
        </w:rPr>
        <w:t>Model scope: advanced boosting and deep learning are excluded. Mitigation: position them in the literature and retain five diverse approved baselines.</w:t>
      </w:r>
    </w:p>
    <w:p w14:paraId="558A3970" w14:textId="77777777" w:rsidR="000B6781" w:rsidRDefault="00AE213B">
      <w:pPr>
        <w:pStyle w:val="ListBullet"/>
        <w:ind w:left="540" w:hanging="279"/>
      </w:pPr>
      <w:r>
        <w:rPr>
          <w:rFonts w:eastAsia="Arial" w:cs="Arial"/>
        </w:rPr>
        <w:t>Post-hoc explanation limits: SHAP and LIME can be sensitive to assumptions and settings. Mitigation: document settings, repeat analyses and compare agreement.</w:t>
      </w:r>
    </w:p>
    <w:p w14:paraId="32CA66AA" w14:textId="77777777" w:rsidR="000B6781" w:rsidRDefault="00AE213B">
      <w:pPr>
        <w:pStyle w:val="Heading2"/>
        <w:spacing w:after="120"/>
      </w:pPr>
      <w:bookmarkStart w:id="41" w:name="_Toc244188236"/>
      <w:r>
        <w:rPr>
          <w:rFonts w:ascii="Arial" w:eastAsia="Arial" w:hAnsi="Arial" w:cs="Arial"/>
        </w:rPr>
        <w:lastRenderedPageBreak/>
        <w:t>3.13 Analysis outputs</w:t>
      </w:r>
      <w:bookmarkEnd w:id="41"/>
    </w:p>
    <w:p w14:paraId="19D14D98" w14:textId="77777777" w:rsidR="000B6781" w:rsidRDefault="00AE213B">
      <w:r>
        <w:rPr>
          <w:rFonts w:eastAsia="Arial" w:cs="Arial"/>
        </w:rPr>
        <w:t>The completed outputs comprised a reproducible analysis script; validated data split; model-comparison and confusion-matrix tables; performance figures; Random Forest artefacts; global SHAP importance; local SHAP and repeated LIME explanations; an explanation-agreement table; and a South African contextual discussion. Together, these outputs answered the three research questions and provided an auditable trail from raw data to conclusion.</w:t>
      </w:r>
    </w:p>
    <w:p w14:paraId="0D9A7ECA" w14:textId="77777777" w:rsidR="000B6781" w:rsidRDefault="00AE213B">
      <w:pPr>
        <w:pStyle w:val="Heading2"/>
        <w:spacing w:after="120"/>
      </w:pPr>
      <w:bookmarkStart w:id="42" w:name="_Toc244188237"/>
      <w:r>
        <w:rPr>
          <w:rFonts w:ascii="Arial" w:eastAsia="Arial" w:hAnsi="Arial" w:cs="Arial"/>
        </w:rPr>
        <w:t>3.14 Chapter summary</w:t>
      </w:r>
      <w:bookmarkEnd w:id="42"/>
    </w:p>
    <w:p w14:paraId="7AFEB231" w14:textId="77777777" w:rsidR="000B6781" w:rsidRDefault="00AE213B">
      <w:pPr>
        <w:keepLines/>
      </w:pPr>
      <w:r>
        <w:rPr>
          <w:rFonts w:eastAsia="Arial" w:cs="Arial"/>
        </w:rPr>
        <w:t>Chapter 3 specified a quantitative, leakage-safe and reproducible design for comparing the five approved models and evaluating SHAP/LIME explanations. It retained the ethics-approved core while strengthening metric choice, validation, explanation stability, governance and data-management detail.</w:t>
      </w:r>
    </w:p>
    <w:p w14:paraId="18070574" w14:textId="77777777" w:rsidR="000B6781" w:rsidRDefault="00AE213B">
      <w:r>
        <w:rPr>
          <w:rFonts w:eastAsia="Arial" w:cs="Arial"/>
        </w:rPr>
        <w:br w:type="page"/>
      </w:r>
    </w:p>
    <w:p w14:paraId="6068EC29" w14:textId="77777777" w:rsidR="00757FB5" w:rsidRDefault="00AE213B">
      <w:pPr>
        <w:pStyle w:val="Heading1"/>
      </w:pPr>
      <w:bookmarkStart w:id="43" w:name="_Toc244188238"/>
      <w:r>
        <w:rPr>
          <w:rFonts w:ascii="Arial" w:eastAsia="Arial" w:hAnsi="Arial" w:cs="Arial"/>
        </w:rPr>
        <w:lastRenderedPageBreak/>
        <w:t>Chapter 4 Results and Discussion</w:t>
      </w:r>
      <w:bookmarkEnd w:id="43"/>
    </w:p>
    <w:p w14:paraId="3438C380" w14:textId="77777777" w:rsidR="00757FB5" w:rsidRDefault="00AE213B">
      <w:pPr>
        <w:pStyle w:val="Heading2"/>
        <w:spacing w:after="120"/>
      </w:pPr>
      <w:bookmarkStart w:id="44" w:name="_Toc244188239"/>
      <w:r>
        <w:rPr>
          <w:rFonts w:ascii="Arial" w:eastAsia="Arial" w:hAnsi="Arial" w:cs="Arial"/>
        </w:rPr>
        <w:t>4.1 Analysis process and reproducibility</w:t>
      </w:r>
      <w:bookmarkEnd w:id="44"/>
    </w:p>
    <w:p w14:paraId="00B0E0D7" w14:textId="77777777" w:rsidR="00757FB5" w:rsidRDefault="00AE213B">
      <w:r>
        <w:rPr>
          <w:rFonts w:eastAsia="Arial" w:cs="Arial"/>
        </w:rPr>
        <w:t>The analysis used the Kaggle Credit Card Fraud Detection dataset containing 284,807 transactions and 31 variables. The target distribution comprised 284,315 legitimate transactions and 492 fraud cases. A stratified 80:20 split with random seed 42 produced 227,845 training records and 56,962 untouched test records, including 98 fraud cases. RobustScaler parameters for Time and Amount were estimated from training data only. All 394 training fraud cases and a reproducible sample of 30,000 legitimate training cases were retained, after which SMOTE created a balanced 60,000-record training set. The test data were neither sampled nor oversampled. Five classifiers were evaluated on the same test cases using accuracy, precision, recall, F1-score, ROC-AUC, PR-AUC and confusion-matrix counts.</w:t>
      </w:r>
    </w:p>
    <w:p w14:paraId="1CAE5BB1" w14:textId="77777777" w:rsidR="00757FB5" w:rsidRDefault="00AE213B">
      <w:r>
        <w:rPr>
          <w:rFonts w:eastAsia="Arial" w:cs="Arial"/>
        </w:rPr>
        <w:t>The explainability stage retained Random Forest because it achieved the strongest combined F1-score and PR-AUC. Global SHAP importance was calculated for 500 test cases comprising all 98 fraud observations and 402 reproducibly sampled legitimate observations. LIME used a balanced 5,000-record training reference sample and explained one representative true positive, false positive, true negative and false negative. Each LIME explanation was repeated five times with documented random seeds. Top-five agreement between SHAP and LIME was measured with Jaccard similarity, and mean pairwise Jaccard similarity across the repeated LIME runs measured local stability.</w:t>
      </w:r>
    </w:p>
    <w:p w14:paraId="680068FF" w14:textId="77777777" w:rsidR="00757FB5" w:rsidRDefault="00AE213B">
      <w:pPr>
        <w:pStyle w:val="Heading2"/>
        <w:spacing w:after="120"/>
      </w:pPr>
      <w:bookmarkStart w:id="45" w:name="_Toc244188240"/>
      <w:r>
        <w:rPr>
          <w:rFonts w:ascii="Arial" w:eastAsia="Arial" w:hAnsi="Arial" w:cs="Arial"/>
        </w:rPr>
        <w:t>4.2 Results for Research Question 1</w:t>
      </w:r>
      <w:bookmarkEnd w:id="45"/>
    </w:p>
    <w:p w14:paraId="72C8DFDA" w14:textId="77777777" w:rsidR="00757FB5" w:rsidRDefault="00AE213B">
      <w:pPr>
        <w:pStyle w:val="Heading3"/>
        <w:spacing w:before="180" w:after="120"/>
      </w:pPr>
      <w:bookmarkStart w:id="46" w:name="_Toc244188241"/>
      <w:r>
        <w:rPr>
          <w:rFonts w:ascii="Arial" w:eastAsia="Arial" w:hAnsi="Arial" w:cs="Arial"/>
        </w:rPr>
        <w:t>4.2.1 Dataset distribution and resampling</w:t>
      </w:r>
      <w:bookmarkEnd w:id="46"/>
    </w:p>
    <w:p w14:paraId="1F40B538" w14:textId="77777777" w:rsidR="00757FB5" w:rsidRDefault="00AE213B">
      <w:r>
        <w:rPr>
          <w:rFonts w:eastAsia="Arial" w:cs="Arial"/>
        </w:rPr>
        <w:t>Figure 2 presents the original class distribution and the balanced training sample. Fraud accounted for approximately 0.172% of the original records. The balanced training set was created only after the stratified split; the untouched test set retained the naturally rare fraud class. This distinction is important because performance measured on balanced test data would not represent the false-positive burden encountered under the original distribution.</w:t>
      </w:r>
    </w:p>
    <w:p w14:paraId="1074E51C" w14:textId="77777777" w:rsidR="00757FB5" w:rsidRDefault="00AE213B">
      <w:pPr>
        <w:keepNext/>
        <w:spacing w:before="80" w:after="80" w:line="240" w:lineRule="auto"/>
        <w:jc w:val="center"/>
      </w:pPr>
      <w:bookmarkStart w:id="47" w:name="fig_2"/>
      <w:r>
        <w:rPr>
          <w:rFonts w:eastAsia="Arial" w:cs="Arial"/>
          <w:b/>
          <w:i/>
        </w:rPr>
        <w:lastRenderedPageBreak/>
        <w:t>Figure 2. Class distribution before and after training-set resampling.</w:t>
      </w:r>
      <w:bookmarkEnd w:id="47"/>
    </w:p>
    <w:p w14:paraId="6F862CC0" w14:textId="77777777" w:rsidR="00757FB5" w:rsidRDefault="00AE213B">
      <w:pPr>
        <w:keepNext/>
        <w:jc w:val="center"/>
      </w:pPr>
      <w:r>
        <w:rPr>
          <w:rFonts w:eastAsia="Arial" w:cs="Arial"/>
          <w:noProof/>
        </w:rPr>
        <w:drawing>
          <wp:inline distT="0" distB="0" distL="0" distR="0" wp14:anchorId="7A69ECFD" wp14:editId="4CB5987A">
            <wp:extent cx="5715000" cy="3102429"/>
            <wp:effectExtent l="0" t="0" r="0" b="0"/>
            <wp:docPr id="1" name="Picture 1" descr="Figure 2 Class distribution before and after training-set resampling" title="Figure 2 Class distribution before and after training-set re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lass_distribution.png"/>
                    <pic:cNvPicPr/>
                  </pic:nvPicPr>
                  <pic:blipFill>
                    <a:blip r:embed="rId8"/>
                    <a:stretch>
                      <a:fillRect/>
                    </a:stretch>
                  </pic:blipFill>
                  <pic:spPr>
                    <a:xfrm>
                      <a:off x="0" y="0"/>
                      <a:ext cx="5715000" cy="3102429"/>
                    </a:xfrm>
                    <a:prstGeom prst="rect">
                      <a:avLst/>
                    </a:prstGeom>
                  </pic:spPr>
                </pic:pic>
              </a:graphicData>
            </a:graphic>
          </wp:inline>
        </w:drawing>
      </w:r>
    </w:p>
    <w:p w14:paraId="096FA9D4" w14:textId="77777777" w:rsidR="00757FB5" w:rsidRDefault="00AE213B">
      <w:pPr>
        <w:pStyle w:val="Heading3"/>
        <w:spacing w:before="180" w:after="120"/>
      </w:pPr>
      <w:bookmarkStart w:id="48" w:name="_Toc244188242"/>
      <w:r>
        <w:rPr>
          <w:rFonts w:ascii="Arial" w:eastAsia="Arial" w:hAnsi="Arial" w:cs="Arial"/>
        </w:rPr>
        <w:t>4.2.2 Comparative model performance</w:t>
      </w:r>
      <w:bookmarkEnd w:id="48"/>
    </w:p>
    <w:p w14:paraId="1BD2E908" w14:textId="77777777" w:rsidR="00757FB5" w:rsidRDefault="00AE213B">
      <w:r>
        <w:rPr>
          <w:rFonts w:eastAsia="Arial" w:cs="Arial"/>
        </w:rPr>
        <w:t>Table 1 presents the common test-set results. Random Forest ranked first on F1-score and PR-AUC, whereas Logistic Regression and k-NN recorded the highest recall. All models exceeded 97% accuracy, but their precision and F1-scores differed materially.</w:t>
      </w:r>
    </w:p>
    <w:p w14:paraId="0542A888" w14:textId="77777777" w:rsidR="00757FB5" w:rsidRDefault="00AE213B">
      <w:pPr>
        <w:keepNext/>
        <w:spacing w:before="80" w:after="80" w:line="240" w:lineRule="auto"/>
        <w:jc w:val="center"/>
      </w:pPr>
      <w:bookmarkStart w:id="49" w:name="tbl_1"/>
      <w:r>
        <w:rPr>
          <w:rFonts w:eastAsia="Arial" w:cs="Arial"/>
          <w:b/>
          <w:i/>
        </w:rPr>
        <w:t>Table 1. Performance on the untouched stratified test set.</w:t>
      </w:r>
      <w:bookmarkEnd w:id="49"/>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1050"/>
        <w:gridCol w:w="1100"/>
        <w:gridCol w:w="1000"/>
        <w:gridCol w:w="850"/>
        <w:gridCol w:w="1150"/>
        <w:gridCol w:w="1150"/>
      </w:tblGrid>
      <w:tr w:rsidR="00757FB5" w14:paraId="3ABA4C6A" w14:textId="77777777">
        <w:trPr>
          <w:cantSplit/>
          <w:tblHeader/>
          <w:jc w:val="center"/>
        </w:trPr>
        <w:tc>
          <w:tcPr>
            <w:tcW w:w="1900" w:type="dxa"/>
            <w:shd w:val="clear" w:color="auto" w:fill="17365D"/>
            <w:tcMar>
              <w:top w:w="90" w:type="dxa"/>
              <w:left w:w="100" w:type="dxa"/>
              <w:bottom w:w="90" w:type="dxa"/>
              <w:right w:w="100" w:type="dxa"/>
            </w:tcMar>
            <w:vAlign w:val="center"/>
          </w:tcPr>
          <w:p w14:paraId="69482DF7" w14:textId="77777777" w:rsidR="00757FB5" w:rsidRDefault="00AE213B">
            <w:pPr>
              <w:spacing w:after="40" w:line="240" w:lineRule="auto"/>
              <w:jc w:val="center"/>
            </w:pPr>
            <w:r>
              <w:rPr>
                <w:rFonts w:eastAsia="Arial" w:cs="Arial"/>
                <w:b/>
              </w:rPr>
              <w:t>Model</w:t>
            </w:r>
          </w:p>
        </w:tc>
        <w:tc>
          <w:tcPr>
            <w:tcW w:w="1050" w:type="dxa"/>
            <w:shd w:val="clear" w:color="auto" w:fill="17365D"/>
            <w:tcMar>
              <w:top w:w="90" w:type="dxa"/>
              <w:left w:w="100" w:type="dxa"/>
              <w:bottom w:w="90" w:type="dxa"/>
              <w:right w:w="100" w:type="dxa"/>
            </w:tcMar>
            <w:vAlign w:val="center"/>
          </w:tcPr>
          <w:p w14:paraId="11183E4A" w14:textId="77777777" w:rsidR="00757FB5" w:rsidRDefault="00AE213B">
            <w:pPr>
              <w:spacing w:after="40" w:line="240" w:lineRule="auto"/>
              <w:jc w:val="center"/>
            </w:pPr>
            <w:r>
              <w:rPr>
                <w:rFonts w:eastAsia="Arial" w:cs="Arial"/>
                <w:b/>
              </w:rPr>
              <w:t>Accuracy</w:t>
            </w:r>
          </w:p>
        </w:tc>
        <w:tc>
          <w:tcPr>
            <w:tcW w:w="1100" w:type="dxa"/>
            <w:shd w:val="clear" w:color="auto" w:fill="17365D"/>
            <w:tcMar>
              <w:top w:w="90" w:type="dxa"/>
              <w:left w:w="100" w:type="dxa"/>
              <w:bottom w:w="90" w:type="dxa"/>
              <w:right w:w="100" w:type="dxa"/>
            </w:tcMar>
            <w:vAlign w:val="center"/>
          </w:tcPr>
          <w:p w14:paraId="6A1A6363" w14:textId="77777777" w:rsidR="00757FB5" w:rsidRDefault="00AE213B">
            <w:pPr>
              <w:spacing w:after="40" w:line="240" w:lineRule="auto"/>
              <w:jc w:val="center"/>
            </w:pPr>
            <w:r>
              <w:rPr>
                <w:rFonts w:eastAsia="Arial" w:cs="Arial"/>
                <w:b/>
              </w:rPr>
              <w:t>Precision</w:t>
            </w:r>
          </w:p>
        </w:tc>
        <w:tc>
          <w:tcPr>
            <w:tcW w:w="1000" w:type="dxa"/>
            <w:shd w:val="clear" w:color="auto" w:fill="17365D"/>
            <w:tcMar>
              <w:top w:w="90" w:type="dxa"/>
              <w:left w:w="100" w:type="dxa"/>
              <w:bottom w:w="90" w:type="dxa"/>
              <w:right w:w="100" w:type="dxa"/>
            </w:tcMar>
            <w:vAlign w:val="center"/>
          </w:tcPr>
          <w:p w14:paraId="1163CA40" w14:textId="77777777" w:rsidR="00757FB5" w:rsidRDefault="00AE213B">
            <w:pPr>
              <w:spacing w:after="40" w:line="240" w:lineRule="auto"/>
              <w:jc w:val="center"/>
            </w:pPr>
            <w:r>
              <w:rPr>
                <w:rFonts w:eastAsia="Arial" w:cs="Arial"/>
                <w:b/>
              </w:rPr>
              <w:t>Recall</w:t>
            </w:r>
          </w:p>
        </w:tc>
        <w:tc>
          <w:tcPr>
            <w:tcW w:w="850" w:type="dxa"/>
            <w:shd w:val="clear" w:color="auto" w:fill="17365D"/>
            <w:tcMar>
              <w:top w:w="90" w:type="dxa"/>
              <w:left w:w="100" w:type="dxa"/>
              <w:bottom w:w="90" w:type="dxa"/>
              <w:right w:w="100" w:type="dxa"/>
            </w:tcMar>
            <w:vAlign w:val="center"/>
          </w:tcPr>
          <w:p w14:paraId="3C52A156" w14:textId="77777777" w:rsidR="00757FB5" w:rsidRDefault="00AE213B">
            <w:pPr>
              <w:spacing w:after="40" w:line="240" w:lineRule="auto"/>
              <w:jc w:val="center"/>
            </w:pPr>
            <w:r>
              <w:rPr>
                <w:rFonts w:eastAsia="Arial" w:cs="Arial"/>
                <w:b/>
              </w:rPr>
              <w:t>F1</w:t>
            </w:r>
          </w:p>
        </w:tc>
        <w:tc>
          <w:tcPr>
            <w:tcW w:w="1150" w:type="dxa"/>
            <w:shd w:val="clear" w:color="auto" w:fill="17365D"/>
            <w:tcMar>
              <w:top w:w="90" w:type="dxa"/>
              <w:left w:w="100" w:type="dxa"/>
              <w:bottom w:w="90" w:type="dxa"/>
              <w:right w:w="100" w:type="dxa"/>
            </w:tcMar>
            <w:vAlign w:val="center"/>
          </w:tcPr>
          <w:p w14:paraId="490440E6" w14:textId="77777777" w:rsidR="00757FB5" w:rsidRDefault="00AE213B">
            <w:pPr>
              <w:spacing w:after="40" w:line="240" w:lineRule="auto"/>
              <w:jc w:val="center"/>
            </w:pPr>
            <w:r>
              <w:rPr>
                <w:rFonts w:eastAsia="Arial" w:cs="Arial"/>
                <w:b/>
              </w:rPr>
              <w:t>ROC-AUC</w:t>
            </w:r>
          </w:p>
        </w:tc>
        <w:tc>
          <w:tcPr>
            <w:tcW w:w="1150" w:type="dxa"/>
            <w:shd w:val="clear" w:color="auto" w:fill="17365D"/>
            <w:tcMar>
              <w:top w:w="90" w:type="dxa"/>
              <w:left w:w="100" w:type="dxa"/>
              <w:bottom w:w="90" w:type="dxa"/>
              <w:right w:w="100" w:type="dxa"/>
            </w:tcMar>
            <w:vAlign w:val="center"/>
          </w:tcPr>
          <w:p w14:paraId="433A9D88" w14:textId="77777777" w:rsidR="00757FB5" w:rsidRDefault="00AE213B">
            <w:pPr>
              <w:spacing w:after="40" w:line="240" w:lineRule="auto"/>
              <w:jc w:val="center"/>
            </w:pPr>
            <w:r>
              <w:rPr>
                <w:rFonts w:eastAsia="Arial" w:cs="Arial"/>
                <w:b/>
              </w:rPr>
              <w:t>PR-AUC</w:t>
            </w:r>
          </w:p>
        </w:tc>
      </w:tr>
      <w:tr w:rsidR="00757FB5" w14:paraId="4139B002" w14:textId="77777777">
        <w:trPr>
          <w:cantSplit/>
          <w:jc w:val="center"/>
        </w:trPr>
        <w:tc>
          <w:tcPr>
            <w:tcW w:w="1900" w:type="dxa"/>
            <w:shd w:val="clear" w:color="auto" w:fill="EAF4E2"/>
            <w:tcMar>
              <w:top w:w="90" w:type="dxa"/>
              <w:left w:w="100" w:type="dxa"/>
              <w:bottom w:w="90" w:type="dxa"/>
              <w:right w:w="100" w:type="dxa"/>
            </w:tcMar>
            <w:vAlign w:val="center"/>
          </w:tcPr>
          <w:p w14:paraId="18124877" w14:textId="77777777" w:rsidR="00757FB5" w:rsidRDefault="00AE213B">
            <w:pPr>
              <w:spacing w:after="40" w:line="240" w:lineRule="auto"/>
              <w:jc w:val="left"/>
            </w:pPr>
            <w:r>
              <w:rPr>
                <w:rFonts w:eastAsia="Arial" w:cs="Arial"/>
                <w:b/>
              </w:rPr>
              <w:t>Random Forest</w:t>
            </w:r>
          </w:p>
        </w:tc>
        <w:tc>
          <w:tcPr>
            <w:tcW w:w="1050" w:type="dxa"/>
            <w:shd w:val="clear" w:color="auto" w:fill="EAF4E2"/>
            <w:tcMar>
              <w:top w:w="90" w:type="dxa"/>
              <w:left w:w="100" w:type="dxa"/>
              <w:bottom w:w="90" w:type="dxa"/>
              <w:right w:w="100" w:type="dxa"/>
            </w:tcMar>
            <w:vAlign w:val="center"/>
          </w:tcPr>
          <w:p w14:paraId="1072BB6D" w14:textId="77777777" w:rsidR="00757FB5" w:rsidRDefault="00AE213B">
            <w:pPr>
              <w:spacing w:after="40" w:line="240" w:lineRule="auto"/>
              <w:jc w:val="left"/>
            </w:pPr>
            <w:r>
              <w:rPr>
                <w:rFonts w:eastAsia="Arial" w:cs="Arial"/>
                <w:b/>
              </w:rPr>
              <w:t>0.998</w:t>
            </w:r>
          </w:p>
        </w:tc>
        <w:tc>
          <w:tcPr>
            <w:tcW w:w="1100" w:type="dxa"/>
            <w:shd w:val="clear" w:color="auto" w:fill="EAF4E2"/>
            <w:tcMar>
              <w:top w:w="90" w:type="dxa"/>
              <w:left w:w="100" w:type="dxa"/>
              <w:bottom w:w="90" w:type="dxa"/>
              <w:right w:w="100" w:type="dxa"/>
            </w:tcMar>
            <w:vAlign w:val="center"/>
          </w:tcPr>
          <w:p w14:paraId="1C8CEEEF" w14:textId="77777777" w:rsidR="00757FB5" w:rsidRDefault="00AE213B">
            <w:pPr>
              <w:spacing w:after="40" w:line="240" w:lineRule="auto"/>
              <w:jc w:val="left"/>
            </w:pPr>
            <w:r>
              <w:rPr>
                <w:rFonts w:eastAsia="Arial" w:cs="Arial"/>
                <w:b/>
              </w:rPr>
              <w:t>0.475</w:t>
            </w:r>
          </w:p>
        </w:tc>
        <w:tc>
          <w:tcPr>
            <w:tcW w:w="1000" w:type="dxa"/>
            <w:shd w:val="clear" w:color="auto" w:fill="EAF4E2"/>
            <w:tcMar>
              <w:top w:w="90" w:type="dxa"/>
              <w:left w:w="100" w:type="dxa"/>
              <w:bottom w:w="90" w:type="dxa"/>
              <w:right w:w="100" w:type="dxa"/>
            </w:tcMar>
            <w:vAlign w:val="center"/>
          </w:tcPr>
          <w:p w14:paraId="65B7125A" w14:textId="77777777" w:rsidR="00757FB5" w:rsidRDefault="00AE213B">
            <w:pPr>
              <w:spacing w:after="40" w:line="240" w:lineRule="auto"/>
              <w:jc w:val="left"/>
            </w:pPr>
            <w:r>
              <w:rPr>
                <w:rFonts w:eastAsia="Arial" w:cs="Arial"/>
                <w:b/>
              </w:rPr>
              <w:t>0.888</w:t>
            </w:r>
          </w:p>
        </w:tc>
        <w:tc>
          <w:tcPr>
            <w:tcW w:w="850" w:type="dxa"/>
            <w:shd w:val="clear" w:color="auto" w:fill="EAF4E2"/>
            <w:tcMar>
              <w:top w:w="90" w:type="dxa"/>
              <w:left w:w="100" w:type="dxa"/>
              <w:bottom w:w="90" w:type="dxa"/>
              <w:right w:w="100" w:type="dxa"/>
            </w:tcMar>
            <w:vAlign w:val="center"/>
          </w:tcPr>
          <w:p w14:paraId="3B47E422" w14:textId="77777777" w:rsidR="00757FB5" w:rsidRDefault="00AE213B">
            <w:pPr>
              <w:spacing w:after="40" w:line="240" w:lineRule="auto"/>
              <w:jc w:val="left"/>
            </w:pPr>
            <w:r>
              <w:rPr>
                <w:rFonts w:eastAsia="Arial" w:cs="Arial"/>
                <w:b/>
              </w:rPr>
              <w:t>0.619</w:t>
            </w:r>
          </w:p>
        </w:tc>
        <w:tc>
          <w:tcPr>
            <w:tcW w:w="1150" w:type="dxa"/>
            <w:shd w:val="clear" w:color="auto" w:fill="EAF4E2"/>
            <w:tcMar>
              <w:top w:w="90" w:type="dxa"/>
              <w:left w:w="100" w:type="dxa"/>
              <w:bottom w:w="90" w:type="dxa"/>
              <w:right w:w="100" w:type="dxa"/>
            </w:tcMar>
            <w:vAlign w:val="center"/>
          </w:tcPr>
          <w:p w14:paraId="5007B33C" w14:textId="77777777" w:rsidR="00757FB5" w:rsidRDefault="00AE213B">
            <w:pPr>
              <w:spacing w:after="40" w:line="240" w:lineRule="auto"/>
              <w:jc w:val="left"/>
            </w:pPr>
            <w:r>
              <w:rPr>
                <w:rFonts w:eastAsia="Arial" w:cs="Arial"/>
                <w:b/>
              </w:rPr>
              <w:t>0.977</w:t>
            </w:r>
          </w:p>
        </w:tc>
        <w:tc>
          <w:tcPr>
            <w:tcW w:w="1150" w:type="dxa"/>
            <w:shd w:val="clear" w:color="auto" w:fill="EAF4E2"/>
            <w:tcMar>
              <w:top w:w="90" w:type="dxa"/>
              <w:left w:w="100" w:type="dxa"/>
              <w:bottom w:w="90" w:type="dxa"/>
              <w:right w:w="100" w:type="dxa"/>
            </w:tcMar>
            <w:vAlign w:val="center"/>
          </w:tcPr>
          <w:p w14:paraId="5273D831" w14:textId="77777777" w:rsidR="00757FB5" w:rsidRDefault="00AE213B">
            <w:pPr>
              <w:spacing w:after="40" w:line="240" w:lineRule="auto"/>
              <w:jc w:val="left"/>
            </w:pPr>
            <w:r>
              <w:rPr>
                <w:rFonts w:eastAsia="Arial" w:cs="Arial"/>
                <w:b/>
              </w:rPr>
              <w:t>0.849</w:t>
            </w:r>
          </w:p>
        </w:tc>
      </w:tr>
      <w:tr w:rsidR="00757FB5" w14:paraId="7FE91066" w14:textId="77777777">
        <w:trPr>
          <w:cantSplit/>
          <w:jc w:val="center"/>
        </w:trPr>
        <w:tc>
          <w:tcPr>
            <w:tcW w:w="1900" w:type="dxa"/>
            <w:shd w:val="clear" w:color="auto" w:fill="F3F6FA"/>
            <w:tcMar>
              <w:top w:w="90" w:type="dxa"/>
              <w:left w:w="100" w:type="dxa"/>
              <w:bottom w:w="90" w:type="dxa"/>
              <w:right w:w="100" w:type="dxa"/>
            </w:tcMar>
            <w:vAlign w:val="center"/>
          </w:tcPr>
          <w:p w14:paraId="5D221F41" w14:textId="77777777" w:rsidR="00757FB5" w:rsidRDefault="00AE213B">
            <w:pPr>
              <w:spacing w:after="40" w:line="240" w:lineRule="auto"/>
              <w:jc w:val="left"/>
            </w:pPr>
            <w:r>
              <w:rPr>
                <w:rFonts w:eastAsia="Arial" w:cs="Arial"/>
              </w:rPr>
              <w:t>k-NN</w:t>
            </w:r>
          </w:p>
        </w:tc>
        <w:tc>
          <w:tcPr>
            <w:tcW w:w="1050" w:type="dxa"/>
            <w:shd w:val="clear" w:color="auto" w:fill="F3F6FA"/>
            <w:tcMar>
              <w:top w:w="90" w:type="dxa"/>
              <w:left w:w="100" w:type="dxa"/>
              <w:bottom w:w="90" w:type="dxa"/>
              <w:right w:w="100" w:type="dxa"/>
            </w:tcMar>
            <w:vAlign w:val="center"/>
          </w:tcPr>
          <w:p w14:paraId="0115FB5A" w14:textId="77777777" w:rsidR="00757FB5" w:rsidRDefault="00AE213B">
            <w:pPr>
              <w:spacing w:after="40" w:line="240" w:lineRule="auto"/>
              <w:jc w:val="left"/>
            </w:pPr>
            <w:r>
              <w:rPr>
                <w:rFonts w:eastAsia="Arial" w:cs="Arial"/>
              </w:rPr>
              <w:t>0.989</w:t>
            </w:r>
          </w:p>
        </w:tc>
        <w:tc>
          <w:tcPr>
            <w:tcW w:w="1100" w:type="dxa"/>
            <w:shd w:val="clear" w:color="auto" w:fill="F3F6FA"/>
            <w:tcMar>
              <w:top w:w="90" w:type="dxa"/>
              <w:left w:w="100" w:type="dxa"/>
              <w:bottom w:w="90" w:type="dxa"/>
              <w:right w:w="100" w:type="dxa"/>
            </w:tcMar>
            <w:vAlign w:val="center"/>
          </w:tcPr>
          <w:p w14:paraId="43584D0A" w14:textId="77777777" w:rsidR="00757FB5" w:rsidRDefault="00AE213B">
            <w:pPr>
              <w:spacing w:after="40" w:line="240" w:lineRule="auto"/>
              <w:jc w:val="left"/>
            </w:pPr>
            <w:r>
              <w:rPr>
                <w:rFonts w:eastAsia="Arial" w:cs="Arial"/>
              </w:rPr>
              <w:t>0.122</w:t>
            </w:r>
          </w:p>
        </w:tc>
        <w:tc>
          <w:tcPr>
            <w:tcW w:w="1000" w:type="dxa"/>
            <w:shd w:val="clear" w:color="auto" w:fill="F3F6FA"/>
            <w:tcMar>
              <w:top w:w="90" w:type="dxa"/>
              <w:left w:w="100" w:type="dxa"/>
              <w:bottom w:w="90" w:type="dxa"/>
              <w:right w:w="100" w:type="dxa"/>
            </w:tcMar>
            <w:vAlign w:val="center"/>
          </w:tcPr>
          <w:p w14:paraId="2D904BF5" w14:textId="77777777" w:rsidR="00757FB5" w:rsidRDefault="00AE213B">
            <w:pPr>
              <w:spacing w:after="40" w:line="240" w:lineRule="auto"/>
              <w:jc w:val="left"/>
            </w:pPr>
            <w:r>
              <w:rPr>
                <w:rFonts w:eastAsia="Arial" w:cs="Arial"/>
              </w:rPr>
              <w:t>0.918</w:t>
            </w:r>
          </w:p>
        </w:tc>
        <w:tc>
          <w:tcPr>
            <w:tcW w:w="850" w:type="dxa"/>
            <w:shd w:val="clear" w:color="auto" w:fill="F3F6FA"/>
            <w:tcMar>
              <w:top w:w="90" w:type="dxa"/>
              <w:left w:w="100" w:type="dxa"/>
              <w:bottom w:w="90" w:type="dxa"/>
              <w:right w:w="100" w:type="dxa"/>
            </w:tcMar>
            <w:vAlign w:val="center"/>
          </w:tcPr>
          <w:p w14:paraId="13BEB459" w14:textId="77777777" w:rsidR="00757FB5" w:rsidRDefault="00AE213B">
            <w:pPr>
              <w:spacing w:after="40" w:line="240" w:lineRule="auto"/>
              <w:jc w:val="left"/>
            </w:pPr>
            <w:r>
              <w:rPr>
                <w:rFonts w:eastAsia="Arial" w:cs="Arial"/>
              </w:rPr>
              <w:t>0.216</w:t>
            </w:r>
          </w:p>
        </w:tc>
        <w:tc>
          <w:tcPr>
            <w:tcW w:w="1150" w:type="dxa"/>
            <w:shd w:val="clear" w:color="auto" w:fill="F3F6FA"/>
            <w:tcMar>
              <w:top w:w="90" w:type="dxa"/>
              <w:left w:w="100" w:type="dxa"/>
              <w:bottom w:w="90" w:type="dxa"/>
              <w:right w:w="100" w:type="dxa"/>
            </w:tcMar>
            <w:vAlign w:val="center"/>
          </w:tcPr>
          <w:p w14:paraId="1619729B" w14:textId="77777777" w:rsidR="00757FB5" w:rsidRDefault="00AE213B">
            <w:pPr>
              <w:spacing w:after="40" w:line="240" w:lineRule="auto"/>
              <w:jc w:val="left"/>
            </w:pPr>
            <w:r>
              <w:rPr>
                <w:rFonts w:eastAsia="Arial" w:cs="Arial"/>
              </w:rPr>
              <w:t>0.957</w:t>
            </w:r>
          </w:p>
        </w:tc>
        <w:tc>
          <w:tcPr>
            <w:tcW w:w="1150" w:type="dxa"/>
            <w:shd w:val="clear" w:color="auto" w:fill="F3F6FA"/>
            <w:tcMar>
              <w:top w:w="90" w:type="dxa"/>
              <w:left w:w="100" w:type="dxa"/>
              <w:bottom w:w="90" w:type="dxa"/>
              <w:right w:w="100" w:type="dxa"/>
            </w:tcMar>
            <w:vAlign w:val="center"/>
          </w:tcPr>
          <w:p w14:paraId="694E6798" w14:textId="77777777" w:rsidR="00757FB5" w:rsidRDefault="00AE213B">
            <w:pPr>
              <w:spacing w:after="40" w:line="240" w:lineRule="auto"/>
              <w:jc w:val="left"/>
            </w:pPr>
            <w:r>
              <w:rPr>
                <w:rFonts w:eastAsia="Arial" w:cs="Arial"/>
              </w:rPr>
              <w:t>0.273</w:t>
            </w:r>
          </w:p>
        </w:tc>
      </w:tr>
      <w:tr w:rsidR="00757FB5" w14:paraId="090B1223" w14:textId="77777777">
        <w:trPr>
          <w:cantSplit/>
          <w:jc w:val="center"/>
        </w:trPr>
        <w:tc>
          <w:tcPr>
            <w:tcW w:w="1900" w:type="dxa"/>
            <w:tcMar>
              <w:top w:w="90" w:type="dxa"/>
              <w:left w:w="100" w:type="dxa"/>
              <w:bottom w:w="90" w:type="dxa"/>
              <w:right w:w="100" w:type="dxa"/>
            </w:tcMar>
            <w:vAlign w:val="center"/>
          </w:tcPr>
          <w:p w14:paraId="2B27259F" w14:textId="77777777" w:rsidR="00757FB5" w:rsidRDefault="00AE213B">
            <w:pPr>
              <w:spacing w:after="40" w:line="240" w:lineRule="auto"/>
              <w:jc w:val="left"/>
            </w:pPr>
            <w:r>
              <w:rPr>
                <w:rFonts w:eastAsia="Arial" w:cs="Arial"/>
              </w:rPr>
              <w:t>Decision Tree</w:t>
            </w:r>
          </w:p>
        </w:tc>
        <w:tc>
          <w:tcPr>
            <w:tcW w:w="1050" w:type="dxa"/>
            <w:tcMar>
              <w:top w:w="90" w:type="dxa"/>
              <w:left w:w="100" w:type="dxa"/>
              <w:bottom w:w="90" w:type="dxa"/>
              <w:right w:w="100" w:type="dxa"/>
            </w:tcMar>
            <w:vAlign w:val="center"/>
          </w:tcPr>
          <w:p w14:paraId="17DB1550" w14:textId="77777777" w:rsidR="00757FB5" w:rsidRDefault="00AE213B">
            <w:pPr>
              <w:spacing w:after="40" w:line="240" w:lineRule="auto"/>
              <w:jc w:val="left"/>
            </w:pPr>
            <w:r>
              <w:rPr>
                <w:rFonts w:eastAsia="Arial" w:cs="Arial"/>
              </w:rPr>
              <w:t>0.981</w:t>
            </w:r>
          </w:p>
        </w:tc>
        <w:tc>
          <w:tcPr>
            <w:tcW w:w="1100" w:type="dxa"/>
            <w:tcMar>
              <w:top w:w="90" w:type="dxa"/>
              <w:left w:w="100" w:type="dxa"/>
              <w:bottom w:w="90" w:type="dxa"/>
              <w:right w:w="100" w:type="dxa"/>
            </w:tcMar>
            <w:vAlign w:val="center"/>
          </w:tcPr>
          <w:p w14:paraId="4ACD5BA7" w14:textId="77777777" w:rsidR="00757FB5" w:rsidRDefault="00AE213B">
            <w:pPr>
              <w:spacing w:after="40" w:line="240" w:lineRule="auto"/>
              <w:jc w:val="left"/>
            </w:pPr>
            <w:r>
              <w:rPr>
                <w:rFonts w:eastAsia="Arial" w:cs="Arial"/>
              </w:rPr>
              <w:t>0.075</w:t>
            </w:r>
          </w:p>
        </w:tc>
        <w:tc>
          <w:tcPr>
            <w:tcW w:w="1000" w:type="dxa"/>
            <w:tcMar>
              <w:top w:w="90" w:type="dxa"/>
              <w:left w:w="100" w:type="dxa"/>
              <w:bottom w:w="90" w:type="dxa"/>
              <w:right w:w="100" w:type="dxa"/>
            </w:tcMar>
            <w:vAlign w:val="center"/>
          </w:tcPr>
          <w:p w14:paraId="4341FB59" w14:textId="77777777" w:rsidR="00757FB5" w:rsidRDefault="00AE213B">
            <w:pPr>
              <w:spacing w:after="40" w:line="240" w:lineRule="auto"/>
              <w:jc w:val="left"/>
            </w:pPr>
            <w:r>
              <w:rPr>
                <w:rFonts w:eastAsia="Arial" w:cs="Arial"/>
              </w:rPr>
              <w:t>0.867</w:t>
            </w:r>
          </w:p>
        </w:tc>
        <w:tc>
          <w:tcPr>
            <w:tcW w:w="850" w:type="dxa"/>
            <w:tcMar>
              <w:top w:w="90" w:type="dxa"/>
              <w:left w:w="100" w:type="dxa"/>
              <w:bottom w:w="90" w:type="dxa"/>
              <w:right w:w="100" w:type="dxa"/>
            </w:tcMar>
            <w:vAlign w:val="center"/>
          </w:tcPr>
          <w:p w14:paraId="55544B77" w14:textId="77777777" w:rsidR="00757FB5" w:rsidRDefault="00AE213B">
            <w:pPr>
              <w:spacing w:after="40" w:line="240" w:lineRule="auto"/>
              <w:jc w:val="left"/>
            </w:pPr>
            <w:r>
              <w:rPr>
                <w:rFonts w:eastAsia="Arial" w:cs="Arial"/>
              </w:rPr>
              <w:t>0.139</w:t>
            </w:r>
          </w:p>
        </w:tc>
        <w:tc>
          <w:tcPr>
            <w:tcW w:w="1150" w:type="dxa"/>
            <w:tcMar>
              <w:top w:w="90" w:type="dxa"/>
              <w:left w:w="100" w:type="dxa"/>
              <w:bottom w:w="90" w:type="dxa"/>
              <w:right w:w="100" w:type="dxa"/>
            </w:tcMar>
            <w:vAlign w:val="center"/>
          </w:tcPr>
          <w:p w14:paraId="1DDFEEAC" w14:textId="77777777" w:rsidR="00757FB5" w:rsidRDefault="00AE213B">
            <w:pPr>
              <w:spacing w:after="40" w:line="240" w:lineRule="auto"/>
              <w:jc w:val="left"/>
            </w:pPr>
            <w:r>
              <w:rPr>
                <w:rFonts w:eastAsia="Arial" w:cs="Arial"/>
              </w:rPr>
              <w:t>0.916</w:t>
            </w:r>
          </w:p>
        </w:tc>
        <w:tc>
          <w:tcPr>
            <w:tcW w:w="1150" w:type="dxa"/>
            <w:tcMar>
              <w:top w:w="90" w:type="dxa"/>
              <w:left w:w="100" w:type="dxa"/>
              <w:bottom w:w="90" w:type="dxa"/>
              <w:right w:w="100" w:type="dxa"/>
            </w:tcMar>
            <w:vAlign w:val="center"/>
          </w:tcPr>
          <w:p w14:paraId="32D3F92D" w14:textId="77777777" w:rsidR="00757FB5" w:rsidRDefault="00AE213B">
            <w:pPr>
              <w:spacing w:after="40" w:line="240" w:lineRule="auto"/>
              <w:jc w:val="left"/>
            </w:pPr>
            <w:r>
              <w:rPr>
                <w:rFonts w:eastAsia="Arial" w:cs="Arial"/>
              </w:rPr>
              <w:t>0.170</w:t>
            </w:r>
          </w:p>
        </w:tc>
      </w:tr>
      <w:tr w:rsidR="00757FB5" w14:paraId="1EC1CE45" w14:textId="77777777">
        <w:trPr>
          <w:cantSplit/>
          <w:jc w:val="center"/>
        </w:trPr>
        <w:tc>
          <w:tcPr>
            <w:tcW w:w="1900" w:type="dxa"/>
            <w:shd w:val="clear" w:color="auto" w:fill="F3F6FA"/>
            <w:tcMar>
              <w:top w:w="90" w:type="dxa"/>
              <w:left w:w="100" w:type="dxa"/>
              <w:bottom w:w="90" w:type="dxa"/>
              <w:right w:w="100" w:type="dxa"/>
            </w:tcMar>
            <w:vAlign w:val="center"/>
          </w:tcPr>
          <w:p w14:paraId="08C37394" w14:textId="77777777" w:rsidR="00757FB5" w:rsidRDefault="00AE213B">
            <w:pPr>
              <w:spacing w:after="40" w:line="240" w:lineRule="auto"/>
              <w:jc w:val="left"/>
            </w:pPr>
            <w:r>
              <w:rPr>
                <w:rFonts w:eastAsia="Arial" w:cs="Arial"/>
              </w:rPr>
              <w:t>Linear SVM</w:t>
            </w:r>
          </w:p>
        </w:tc>
        <w:tc>
          <w:tcPr>
            <w:tcW w:w="1050" w:type="dxa"/>
            <w:shd w:val="clear" w:color="auto" w:fill="F3F6FA"/>
            <w:tcMar>
              <w:top w:w="90" w:type="dxa"/>
              <w:left w:w="100" w:type="dxa"/>
              <w:bottom w:w="90" w:type="dxa"/>
              <w:right w:w="100" w:type="dxa"/>
            </w:tcMar>
            <w:vAlign w:val="center"/>
          </w:tcPr>
          <w:p w14:paraId="4D35A458" w14:textId="77777777" w:rsidR="00757FB5" w:rsidRDefault="00AE213B">
            <w:pPr>
              <w:spacing w:after="40" w:line="240" w:lineRule="auto"/>
              <w:jc w:val="left"/>
            </w:pPr>
            <w:r>
              <w:rPr>
                <w:rFonts w:eastAsia="Arial" w:cs="Arial"/>
              </w:rPr>
              <w:t>0.977</w:t>
            </w:r>
          </w:p>
        </w:tc>
        <w:tc>
          <w:tcPr>
            <w:tcW w:w="1100" w:type="dxa"/>
            <w:shd w:val="clear" w:color="auto" w:fill="F3F6FA"/>
            <w:tcMar>
              <w:top w:w="90" w:type="dxa"/>
              <w:left w:w="100" w:type="dxa"/>
              <w:bottom w:w="90" w:type="dxa"/>
              <w:right w:w="100" w:type="dxa"/>
            </w:tcMar>
            <w:vAlign w:val="center"/>
          </w:tcPr>
          <w:p w14:paraId="1DEEAAEC" w14:textId="77777777" w:rsidR="00757FB5" w:rsidRDefault="00AE213B">
            <w:pPr>
              <w:spacing w:after="40" w:line="240" w:lineRule="auto"/>
              <w:jc w:val="left"/>
            </w:pPr>
            <w:r>
              <w:rPr>
                <w:rFonts w:eastAsia="Arial" w:cs="Arial"/>
              </w:rPr>
              <w:t>0.064</w:t>
            </w:r>
          </w:p>
        </w:tc>
        <w:tc>
          <w:tcPr>
            <w:tcW w:w="1000" w:type="dxa"/>
            <w:shd w:val="clear" w:color="auto" w:fill="F3F6FA"/>
            <w:tcMar>
              <w:top w:w="90" w:type="dxa"/>
              <w:left w:w="100" w:type="dxa"/>
              <w:bottom w:w="90" w:type="dxa"/>
              <w:right w:w="100" w:type="dxa"/>
            </w:tcMar>
            <w:vAlign w:val="center"/>
          </w:tcPr>
          <w:p w14:paraId="681FE93D" w14:textId="77777777" w:rsidR="00757FB5" w:rsidRDefault="00AE213B">
            <w:pPr>
              <w:spacing w:after="40" w:line="240" w:lineRule="auto"/>
              <w:jc w:val="left"/>
            </w:pPr>
            <w:r>
              <w:rPr>
                <w:rFonts w:eastAsia="Arial" w:cs="Arial"/>
              </w:rPr>
              <w:t>0.908</w:t>
            </w:r>
          </w:p>
        </w:tc>
        <w:tc>
          <w:tcPr>
            <w:tcW w:w="850" w:type="dxa"/>
            <w:shd w:val="clear" w:color="auto" w:fill="F3F6FA"/>
            <w:tcMar>
              <w:top w:w="90" w:type="dxa"/>
              <w:left w:w="100" w:type="dxa"/>
              <w:bottom w:w="90" w:type="dxa"/>
              <w:right w:w="100" w:type="dxa"/>
            </w:tcMar>
            <w:vAlign w:val="center"/>
          </w:tcPr>
          <w:p w14:paraId="2B43AA45" w14:textId="77777777" w:rsidR="00757FB5" w:rsidRDefault="00AE213B">
            <w:pPr>
              <w:spacing w:after="40" w:line="240" w:lineRule="auto"/>
              <w:jc w:val="left"/>
            </w:pPr>
            <w:r>
              <w:rPr>
                <w:rFonts w:eastAsia="Arial" w:cs="Arial"/>
              </w:rPr>
              <w:t>0.120</w:t>
            </w:r>
          </w:p>
        </w:tc>
        <w:tc>
          <w:tcPr>
            <w:tcW w:w="1150" w:type="dxa"/>
            <w:shd w:val="clear" w:color="auto" w:fill="F3F6FA"/>
            <w:tcMar>
              <w:top w:w="90" w:type="dxa"/>
              <w:left w:w="100" w:type="dxa"/>
              <w:bottom w:w="90" w:type="dxa"/>
              <w:right w:w="100" w:type="dxa"/>
            </w:tcMar>
            <w:vAlign w:val="center"/>
          </w:tcPr>
          <w:p w14:paraId="5DE7DC20" w14:textId="77777777" w:rsidR="00757FB5" w:rsidRDefault="00AE213B">
            <w:pPr>
              <w:spacing w:after="40" w:line="240" w:lineRule="auto"/>
              <w:jc w:val="left"/>
            </w:pPr>
            <w:r>
              <w:rPr>
                <w:rFonts w:eastAsia="Arial" w:cs="Arial"/>
              </w:rPr>
              <w:t>0.976</w:t>
            </w:r>
          </w:p>
        </w:tc>
        <w:tc>
          <w:tcPr>
            <w:tcW w:w="1150" w:type="dxa"/>
            <w:shd w:val="clear" w:color="auto" w:fill="F3F6FA"/>
            <w:tcMar>
              <w:top w:w="90" w:type="dxa"/>
              <w:left w:w="100" w:type="dxa"/>
              <w:bottom w:w="90" w:type="dxa"/>
              <w:right w:w="100" w:type="dxa"/>
            </w:tcMar>
            <w:vAlign w:val="center"/>
          </w:tcPr>
          <w:p w14:paraId="22F4A745" w14:textId="77777777" w:rsidR="00757FB5" w:rsidRDefault="00AE213B">
            <w:pPr>
              <w:spacing w:after="40" w:line="240" w:lineRule="auto"/>
              <w:jc w:val="left"/>
            </w:pPr>
            <w:r>
              <w:rPr>
                <w:rFonts w:eastAsia="Arial" w:cs="Arial"/>
              </w:rPr>
              <w:t>0.733</w:t>
            </w:r>
          </w:p>
        </w:tc>
      </w:tr>
      <w:tr w:rsidR="00757FB5" w14:paraId="111E7221" w14:textId="77777777">
        <w:trPr>
          <w:cantSplit/>
          <w:jc w:val="center"/>
        </w:trPr>
        <w:tc>
          <w:tcPr>
            <w:tcW w:w="1900" w:type="dxa"/>
            <w:tcMar>
              <w:top w:w="90" w:type="dxa"/>
              <w:left w:w="100" w:type="dxa"/>
              <w:bottom w:w="90" w:type="dxa"/>
              <w:right w:w="100" w:type="dxa"/>
            </w:tcMar>
            <w:vAlign w:val="center"/>
          </w:tcPr>
          <w:p w14:paraId="0C12FC7E" w14:textId="77777777" w:rsidR="00757FB5" w:rsidRDefault="00AE213B">
            <w:pPr>
              <w:spacing w:after="40" w:line="240" w:lineRule="auto"/>
              <w:jc w:val="left"/>
            </w:pPr>
            <w:r>
              <w:rPr>
                <w:rFonts w:eastAsia="Arial" w:cs="Arial"/>
              </w:rPr>
              <w:t>Logistic Regression</w:t>
            </w:r>
          </w:p>
        </w:tc>
        <w:tc>
          <w:tcPr>
            <w:tcW w:w="1050" w:type="dxa"/>
            <w:tcMar>
              <w:top w:w="90" w:type="dxa"/>
              <w:left w:w="100" w:type="dxa"/>
              <w:bottom w:w="90" w:type="dxa"/>
              <w:right w:w="100" w:type="dxa"/>
            </w:tcMar>
            <w:vAlign w:val="center"/>
          </w:tcPr>
          <w:p w14:paraId="4F6D35EE" w14:textId="77777777" w:rsidR="00757FB5" w:rsidRDefault="00AE213B">
            <w:pPr>
              <w:spacing w:after="40" w:line="240" w:lineRule="auto"/>
              <w:jc w:val="left"/>
            </w:pPr>
            <w:r>
              <w:rPr>
                <w:rFonts w:eastAsia="Arial" w:cs="Arial"/>
              </w:rPr>
              <w:t>0.974</w:t>
            </w:r>
          </w:p>
        </w:tc>
        <w:tc>
          <w:tcPr>
            <w:tcW w:w="1100" w:type="dxa"/>
            <w:tcMar>
              <w:top w:w="90" w:type="dxa"/>
              <w:left w:w="100" w:type="dxa"/>
              <w:bottom w:w="90" w:type="dxa"/>
              <w:right w:w="100" w:type="dxa"/>
            </w:tcMar>
            <w:vAlign w:val="center"/>
          </w:tcPr>
          <w:p w14:paraId="2BBAC23B" w14:textId="77777777" w:rsidR="00757FB5" w:rsidRDefault="00AE213B">
            <w:pPr>
              <w:spacing w:after="40" w:line="240" w:lineRule="auto"/>
              <w:jc w:val="left"/>
            </w:pPr>
            <w:r>
              <w:rPr>
                <w:rFonts w:eastAsia="Arial" w:cs="Arial"/>
              </w:rPr>
              <w:t>0.058</w:t>
            </w:r>
          </w:p>
        </w:tc>
        <w:tc>
          <w:tcPr>
            <w:tcW w:w="1000" w:type="dxa"/>
            <w:tcMar>
              <w:top w:w="90" w:type="dxa"/>
              <w:left w:w="100" w:type="dxa"/>
              <w:bottom w:w="90" w:type="dxa"/>
              <w:right w:w="100" w:type="dxa"/>
            </w:tcMar>
            <w:vAlign w:val="center"/>
          </w:tcPr>
          <w:p w14:paraId="36BA11F3" w14:textId="77777777" w:rsidR="00757FB5" w:rsidRDefault="00AE213B">
            <w:pPr>
              <w:spacing w:after="40" w:line="240" w:lineRule="auto"/>
              <w:jc w:val="left"/>
            </w:pPr>
            <w:r>
              <w:rPr>
                <w:rFonts w:eastAsia="Arial" w:cs="Arial"/>
              </w:rPr>
              <w:t>0.918</w:t>
            </w:r>
          </w:p>
        </w:tc>
        <w:tc>
          <w:tcPr>
            <w:tcW w:w="850" w:type="dxa"/>
            <w:tcMar>
              <w:top w:w="90" w:type="dxa"/>
              <w:left w:w="100" w:type="dxa"/>
              <w:bottom w:w="90" w:type="dxa"/>
              <w:right w:w="100" w:type="dxa"/>
            </w:tcMar>
            <w:vAlign w:val="center"/>
          </w:tcPr>
          <w:p w14:paraId="1B4F59D1" w14:textId="77777777" w:rsidR="00757FB5" w:rsidRDefault="00AE213B">
            <w:pPr>
              <w:spacing w:after="40" w:line="240" w:lineRule="auto"/>
              <w:jc w:val="left"/>
            </w:pPr>
            <w:r>
              <w:rPr>
                <w:rFonts w:eastAsia="Arial" w:cs="Arial"/>
              </w:rPr>
              <w:t>0.109</w:t>
            </w:r>
          </w:p>
        </w:tc>
        <w:tc>
          <w:tcPr>
            <w:tcW w:w="1150" w:type="dxa"/>
            <w:tcMar>
              <w:top w:w="90" w:type="dxa"/>
              <w:left w:w="100" w:type="dxa"/>
              <w:bottom w:w="90" w:type="dxa"/>
              <w:right w:w="100" w:type="dxa"/>
            </w:tcMar>
            <w:vAlign w:val="center"/>
          </w:tcPr>
          <w:p w14:paraId="4E3565CA" w14:textId="77777777" w:rsidR="00757FB5" w:rsidRDefault="00AE213B">
            <w:pPr>
              <w:spacing w:after="40" w:line="240" w:lineRule="auto"/>
              <w:jc w:val="left"/>
            </w:pPr>
            <w:r>
              <w:rPr>
                <w:rFonts w:eastAsia="Arial" w:cs="Arial"/>
              </w:rPr>
              <w:t>0.972</w:t>
            </w:r>
          </w:p>
        </w:tc>
        <w:tc>
          <w:tcPr>
            <w:tcW w:w="1150" w:type="dxa"/>
            <w:tcMar>
              <w:top w:w="90" w:type="dxa"/>
              <w:left w:w="100" w:type="dxa"/>
              <w:bottom w:w="90" w:type="dxa"/>
              <w:right w:w="100" w:type="dxa"/>
            </w:tcMar>
            <w:vAlign w:val="center"/>
          </w:tcPr>
          <w:p w14:paraId="718EDF6E" w14:textId="77777777" w:rsidR="00757FB5" w:rsidRDefault="00AE213B">
            <w:pPr>
              <w:spacing w:after="40" w:line="240" w:lineRule="auto"/>
              <w:jc w:val="left"/>
            </w:pPr>
            <w:r>
              <w:rPr>
                <w:rFonts w:eastAsia="Arial" w:cs="Arial"/>
              </w:rPr>
              <w:t>0.721</w:t>
            </w:r>
          </w:p>
        </w:tc>
      </w:tr>
    </w:tbl>
    <w:p w14:paraId="580D1682" w14:textId="77777777" w:rsidR="00757FB5" w:rsidRDefault="00AE213B">
      <w:r>
        <w:rPr>
          <w:rFonts w:eastAsia="Arial" w:cs="Arial"/>
        </w:rPr>
        <w:t>Note. Values are rounded to three decimals. The Random Forest row is highlighted because it achieved the highest F1-score and PR-AUC. Figure 3 visualises recall, F1-score and PR-AUC across the five models, making the difference between high recall and balanced minority-class performance visible.</w:t>
      </w:r>
    </w:p>
    <w:p w14:paraId="09254DC0" w14:textId="77777777" w:rsidR="00757FB5" w:rsidRDefault="00AE213B">
      <w:pPr>
        <w:keepNext/>
        <w:spacing w:before="80" w:after="80" w:line="240" w:lineRule="auto"/>
        <w:jc w:val="center"/>
      </w:pPr>
      <w:bookmarkStart w:id="50" w:name="fig_3"/>
      <w:r>
        <w:rPr>
          <w:rFonts w:eastAsia="Arial" w:cs="Arial"/>
          <w:b/>
          <w:i/>
        </w:rPr>
        <w:lastRenderedPageBreak/>
        <w:t>Figure 3. Recall, F1-score and PR-AUC by model.</w:t>
      </w:r>
      <w:bookmarkEnd w:id="50"/>
    </w:p>
    <w:p w14:paraId="77246E07" w14:textId="77777777" w:rsidR="00757FB5" w:rsidRDefault="00AE213B">
      <w:pPr>
        <w:keepNext/>
        <w:jc w:val="center"/>
      </w:pPr>
      <w:r>
        <w:rPr>
          <w:rFonts w:eastAsia="Arial" w:cs="Arial"/>
          <w:noProof/>
        </w:rPr>
        <w:drawing>
          <wp:inline distT="0" distB="0" distL="0" distR="0" wp14:anchorId="6DA74FD1" wp14:editId="46ADFA6A">
            <wp:extent cx="5715000" cy="3214688"/>
            <wp:effectExtent l="0" t="0" r="0" b="0"/>
            <wp:docPr id="2" name="Picture 2" descr="Figure 3 Recall F1-score and PR-AUC by model" title="Figure 3 Recall F1-score and PR-AUC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performance.png"/>
                    <pic:cNvPicPr/>
                  </pic:nvPicPr>
                  <pic:blipFill>
                    <a:blip r:embed="rId9"/>
                    <a:stretch>
                      <a:fillRect/>
                    </a:stretch>
                  </pic:blipFill>
                  <pic:spPr>
                    <a:xfrm>
                      <a:off x="0" y="0"/>
                      <a:ext cx="5715000" cy="3214688"/>
                    </a:xfrm>
                    <a:prstGeom prst="rect">
                      <a:avLst/>
                    </a:prstGeom>
                  </pic:spPr>
                </pic:pic>
              </a:graphicData>
            </a:graphic>
          </wp:inline>
        </w:drawing>
      </w:r>
    </w:p>
    <w:p w14:paraId="4B9DF3FC" w14:textId="77777777" w:rsidR="0070366D" w:rsidRDefault="00DF4816">
      <w:r>
        <w:rPr>
          <w:rFonts w:eastAsia="Arial" w:cs="Arial"/>
        </w:rPr>
        <w:t>The model ranking changes when the metric changes, which confirms the need for a multi-metric assessment. k-NN and Logistic Regression achieved the highest recall at 0.918, yet their precision values of 0.122 and 0.058 imply substantially more false alerts than Random Forest. Linear SVM achieved strong ROC-AUC and a PR-AUC of 0.733, showing that its ranking ability was better than its fixed-threshold precision suggests. Random Forest combined a slightly lower recall of 0.888 with the highest precision, F1-score and PR-AUC. That combination matters because it indicates that the ensemble concentrated more of its alerts on actual fraud while still detecting most positive cases. The result supports Random Forest as the strongest model under the study's balanced selection criteria, not as the winner under every possible fraud-cost function.</w:t>
      </w:r>
    </w:p>
    <w:p w14:paraId="05A5E4B1" w14:textId="77777777" w:rsidR="0070366D" w:rsidRDefault="00DF4816">
      <w:r>
        <w:rPr>
          <w:rFonts w:eastAsia="Arial" w:cs="Arial"/>
        </w:rPr>
        <w:t>Comparison with prior work should remain cautious because published studies use different splits, resampling choices and evaluation distributions. Khalid et al. (2024) found advantages for ensemble learning, while Nobel et al. (2024) reported strong performance for XGBoost with SMOTE and then applied SHAP and LIME. The present result is consistent with the broader view that ensembles can model complex interactions in imbalanced fraud data. Its contribution lies in the controlled comparison and transparent error counts. The study does not reproduce the exact protocols of those papers, so numerical scores should not be treated as direct league-table comparisons.</w:t>
      </w:r>
    </w:p>
    <w:p w14:paraId="4842FB1F" w14:textId="77777777" w:rsidR="00757FB5" w:rsidRDefault="00AE213B">
      <w:pPr>
        <w:pStyle w:val="Heading3"/>
        <w:spacing w:before="180" w:after="120"/>
      </w:pPr>
      <w:bookmarkStart w:id="51" w:name="_Toc244188243"/>
      <w:r>
        <w:rPr>
          <w:rFonts w:ascii="Arial" w:eastAsia="Arial" w:hAnsi="Arial" w:cs="Arial"/>
        </w:rPr>
        <w:t>4.2.3 Confusion-matrix outcomes</w:t>
      </w:r>
      <w:bookmarkEnd w:id="51"/>
    </w:p>
    <w:p w14:paraId="4CA89D2B" w14:textId="77777777" w:rsidR="00757FB5" w:rsidRDefault="00AE213B">
      <w:r>
        <w:rPr>
          <w:rFonts w:eastAsia="Arial" w:cs="Arial"/>
        </w:rPr>
        <w:t xml:space="preserve">Table 2 shows the error counts behind the summary metrics. Random Forest missed 11 fraud cases and produced 96 false alarms. Logistic Regression and k-NN each missed </w:t>
      </w:r>
      <w:r>
        <w:rPr>
          <w:rFonts w:eastAsia="Arial" w:cs="Arial"/>
        </w:rPr>
        <w:lastRenderedPageBreak/>
        <w:t>only eight fraud cases, but their false-positive counts increased to 1,468 and 647 respectively.</w:t>
      </w:r>
    </w:p>
    <w:p w14:paraId="7BA24A57" w14:textId="77777777" w:rsidR="00757FB5" w:rsidRDefault="00AE213B">
      <w:pPr>
        <w:keepNext/>
        <w:spacing w:before="80" w:after="80" w:line="240" w:lineRule="auto"/>
        <w:jc w:val="center"/>
      </w:pPr>
      <w:bookmarkStart w:id="52" w:name="tbl_2"/>
      <w:r>
        <w:rPr>
          <w:rFonts w:eastAsia="Arial" w:cs="Arial"/>
          <w:b/>
          <w:i/>
        </w:rPr>
        <w:t>Table 2. Confusion-matrix results on the untouched test set.</w:t>
      </w:r>
      <w:bookmarkEnd w:id="52"/>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00"/>
        <w:gridCol w:w="1500"/>
        <w:gridCol w:w="1500"/>
        <w:gridCol w:w="1500"/>
        <w:gridCol w:w="1500"/>
      </w:tblGrid>
      <w:tr w:rsidR="00757FB5" w14:paraId="07DA5DF1" w14:textId="77777777">
        <w:trPr>
          <w:cantSplit/>
          <w:tblHeader/>
          <w:jc w:val="center"/>
        </w:trPr>
        <w:tc>
          <w:tcPr>
            <w:tcW w:w="2200" w:type="dxa"/>
            <w:shd w:val="clear" w:color="auto" w:fill="17365D"/>
            <w:tcMar>
              <w:top w:w="90" w:type="dxa"/>
              <w:left w:w="100" w:type="dxa"/>
              <w:bottom w:w="90" w:type="dxa"/>
              <w:right w:w="100" w:type="dxa"/>
            </w:tcMar>
            <w:vAlign w:val="center"/>
          </w:tcPr>
          <w:p w14:paraId="1C0AF600" w14:textId="77777777" w:rsidR="00757FB5" w:rsidRDefault="00AE213B">
            <w:pPr>
              <w:spacing w:after="40" w:line="240" w:lineRule="auto"/>
              <w:jc w:val="center"/>
            </w:pPr>
            <w:r>
              <w:rPr>
                <w:rFonts w:eastAsia="Arial" w:cs="Arial"/>
                <w:b/>
              </w:rPr>
              <w:t>Model</w:t>
            </w:r>
          </w:p>
        </w:tc>
        <w:tc>
          <w:tcPr>
            <w:tcW w:w="1500" w:type="dxa"/>
            <w:shd w:val="clear" w:color="auto" w:fill="17365D"/>
            <w:tcMar>
              <w:top w:w="90" w:type="dxa"/>
              <w:left w:w="100" w:type="dxa"/>
              <w:bottom w:w="90" w:type="dxa"/>
              <w:right w:w="100" w:type="dxa"/>
            </w:tcMar>
            <w:vAlign w:val="center"/>
          </w:tcPr>
          <w:p w14:paraId="6B8C245B" w14:textId="77777777" w:rsidR="00757FB5" w:rsidRDefault="00AE213B">
            <w:pPr>
              <w:spacing w:after="40" w:line="240" w:lineRule="auto"/>
              <w:jc w:val="center"/>
            </w:pPr>
            <w:r>
              <w:rPr>
                <w:rFonts w:eastAsia="Arial" w:cs="Arial"/>
                <w:b/>
              </w:rPr>
              <w:t>True negatives</w:t>
            </w:r>
          </w:p>
        </w:tc>
        <w:tc>
          <w:tcPr>
            <w:tcW w:w="1500" w:type="dxa"/>
            <w:shd w:val="clear" w:color="auto" w:fill="17365D"/>
            <w:tcMar>
              <w:top w:w="90" w:type="dxa"/>
              <w:left w:w="100" w:type="dxa"/>
              <w:bottom w:w="90" w:type="dxa"/>
              <w:right w:w="100" w:type="dxa"/>
            </w:tcMar>
            <w:vAlign w:val="center"/>
          </w:tcPr>
          <w:p w14:paraId="7A5BA666" w14:textId="77777777" w:rsidR="00757FB5" w:rsidRDefault="00AE213B">
            <w:pPr>
              <w:spacing w:after="40" w:line="240" w:lineRule="auto"/>
              <w:jc w:val="center"/>
            </w:pPr>
            <w:r>
              <w:rPr>
                <w:rFonts w:eastAsia="Arial" w:cs="Arial"/>
                <w:b/>
              </w:rPr>
              <w:t>False positives</w:t>
            </w:r>
          </w:p>
        </w:tc>
        <w:tc>
          <w:tcPr>
            <w:tcW w:w="1500" w:type="dxa"/>
            <w:shd w:val="clear" w:color="auto" w:fill="17365D"/>
            <w:tcMar>
              <w:top w:w="90" w:type="dxa"/>
              <w:left w:w="100" w:type="dxa"/>
              <w:bottom w:w="90" w:type="dxa"/>
              <w:right w:w="100" w:type="dxa"/>
            </w:tcMar>
            <w:vAlign w:val="center"/>
          </w:tcPr>
          <w:p w14:paraId="290B9443" w14:textId="77777777" w:rsidR="00757FB5" w:rsidRDefault="00AE213B">
            <w:pPr>
              <w:spacing w:after="40" w:line="240" w:lineRule="auto"/>
              <w:jc w:val="center"/>
            </w:pPr>
            <w:r>
              <w:rPr>
                <w:rFonts w:eastAsia="Arial" w:cs="Arial"/>
                <w:b/>
              </w:rPr>
              <w:t>False negatives</w:t>
            </w:r>
          </w:p>
        </w:tc>
        <w:tc>
          <w:tcPr>
            <w:tcW w:w="1500" w:type="dxa"/>
            <w:shd w:val="clear" w:color="auto" w:fill="17365D"/>
            <w:tcMar>
              <w:top w:w="90" w:type="dxa"/>
              <w:left w:w="100" w:type="dxa"/>
              <w:bottom w:w="90" w:type="dxa"/>
              <w:right w:w="100" w:type="dxa"/>
            </w:tcMar>
            <w:vAlign w:val="center"/>
          </w:tcPr>
          <w:p w14:paraId="3C4395E6" w14:textId="77777777" w:rsidR="00757FB5" w:rsidRDefault="00AE213B">
            <w:pPr>
              <w:spacing w:after="40" w:line="240" w:lineRule="auto"/>
              <w:jc w:val="center"/>
            </w:pPr>
            <w:r>
              <w:rPr>
                <w:rFonts w:eastAsia="Arial" w:cs="Arial"/>
                <w:b/>
              </w:rPr>
              <w:t>True positives</w:t>
            </w:r>
          </w:p>
        </w:tc>
      </w:tr>
      <w:tr w:rsidR="00757FB5" w14:paraId="187D8268" w14:textId="77777777">
        <w:trPr>
          <w:cantSplit/>
          <w:jc w:val="center"/>
        </w:trPr>
        <w:tc>
          <w:tcPr>
            <w:tcW w:w="2200" w:type="dxa"/>
            <w:shd w:val="clear" w:color="auto" w:fill="EAF4E2"/>
            <w:tcMar>
              <w:top w:w="90" w:type="dxa"/>
              <w:left w:w="100" w:type="dxa"/>
              <w:bottom w:w="90" w:type="dxa"/>
              <w:right w:w="100" w:type="dxa"/>
            </w:tcMar>
            <w:vAlign w:val="center"/>
          </w:tcPr>
          <w:p w14:paraId="5F52A1AB" w14:textId="77777777" w:rsidR="00757FB5" w:rsidRDefault="00AE213B">
            <w:pPr>
              <w:spacing w:after="40" w:line="240" w:lineRule="auto"/>
              <w:jc w:val="left"/>
            </w:pPr>
            <w:r>
              <w:rPr>
                <w:rFonts w:eastAsia="Arial" w:cs="Arial"/>
                <w:b/>
              </w:rPr>
              <w:t>Random Forest</w:t>
            </w:r>
          </w:p>
        </w:tc>
        <w:tc>
          <w:tcPr>
            <w:tcW w:w="1500" w:type="dxa"/>
            <w:shd w:val="clear" w:color="auto" w:fill="EAF4E2"/>
            <w:tcMar>
              <w:top w:w="90" w:type="dxa"/>
              <w:left w:w="100" w:type="dxa"/>
              <w:bottom w:w="90" w:type="dxa"/>
              <w:right w:w="100" w:type="dxa"/>
            </w:tcMar>
            <w:vAlign w:val="center"/>
          </w:tcPr>
          <w:p w14:paraId="00110307" w14:textId="77777777" w:rsidR="00757FB5" w:rsidRDefault="00AE213B">
            <w:pPr>
              <w:spacing w:after="40" w:line="240" w:lineRule="auto"/>
              <w:jc w:val="left"/>
            </w:pPr>
            <w:r>
              <w:rPr>
                <w:rFonts w:eastAsia="Arial" w:cs="Arial"/>
                <w:b/>
              </w:rPr>
              <w:t>56,768</w:t>
            </w:r>
          </w:p>
        </w:tc>
        <w:tc>
          <w:tcPr>
            <w:tcW w:w="1500" w:type="dxa"/>
            <w:shd w:val="clear" w:color="auto" w:fill="EAF4E2"/>
            <w:tcMar>
              <w:top w:w="90" w:type="dxa"/>
              <w:left w:w="100" w:type="dxa"/>
              <w:bottom w:w="90" w:type="dxa"/>
              <w:right w:w="100" w:type="dxa"/>
            </w:tcMar>
            <w:vAlign w:val="center"/>
          </w:tcPr>
          <w:p w14:paraId="27ADD838" w14:textId="77777777" w:rsidR="00757FB5" w:rsidRDefault="00AE213B">
            <w:pPr>
              <w:spacing w:after="40" w:line="240" w:lineRule="auto"/>
              <w:jc w:val="left"/>
            </w:pPr>
            <w:r>
              <w:rPr>
                <w:rFonts w:eastAsia="Arial" w:cs="Arial"/>
                <w:b/>
              </w:rPr>
              <w:t>96</w:t>
            </w:r>
          </w:p>
        </w:tc>
        <w:tc>
          <w:tcPr>
            <w:tcW w:w="1500" w:type="dxa"/>
            <w:shd w:val="clear" w:color="auto" w:fill="EAF4E2"/>
            <w:tcMar>
              <w:top w:w="90" w:type="dxa"/>
              <w:left w:w="100" w:type="dxa"/>
              <w:bottom w:w="90" w:type="dxa"/>
              <w:right w:w="100" w:type="dxa"/>
            </w:tcMar>
            <w:vAlign w:val="center"/>
          </w:tcPr>
          <w:p w14:paraId="534CAA6B" w14:textId="77777777" w:rsidR="00757FB5" w:rsidRDefault="00AE213B">
            <w:pPr>
              <w:spacing w:after="40" w:line="240" w:lineRule="auto"/>
              <w:jc w:val="left"/>
            </w:pPr>
            <w:r>
              <w:rPr>
                <w:rFonts w:eastAsia="Arial" w:cs="Arial"/>
                <w:b/>
              </w:rPr>
              <w:t>11</w:t>
            </w:r>
          </w:p>
        </w:tc>
        <w:tc>
          <w:tcPr>
            <w:tcW w:w="1500" w:type="dxa"/>
            <w:shd w:val="clear" w:color="auto" w:fill="EAF4E2"/>
            <w:tcMar>
              <w:top w:w="90" w:type="dxa"/>
              <w:left w:w="100" w:type="dxa"/>
              <w:bottom w:w="90" w:type="dxa"/>
              <w:right w:w="100" w:type="dxa"/>
            </w:tcMar>
            <w:vAlign w:val="center"/>
          </w:tcPr>
          <w:p w14:paraId="3F32BCB0" w14:textId="77777777" w:rsidR="00757FB5" w:rsidRDefault="00AE213B">
            <w:pPr>
              <w:spacing w:after="40" w:line="240" w:lineRule="auto"/>
              <w:jc w:val="left"/>
            </w:pPr>
            <w:r>
              <w:rPr>
                <w:rFonts w:eastAsia="Arial" w:cs="Arial"/>
                <w:b/>
              </w:rPr>
              <w:t>87</w:t>
            </w:r>
          </w:p>
        </w:tc>
      </w:tr>
      <w:tr w:rsidR="00757FB5" w14:paraId="7E8401BA" w14:textId="77777777">
        <w:trPr>
          <w:cantSplit/>
          <w:jc w:val="center"/>
        </w:trPr>
        <w:tc>
          <w:tcPr>
            <w:tcW w:w="2200" w:type="dxa"/>
            <w:shd w:val="clear" w:color="auto" w:fill="F3F6FA"/>
            <w:tcMar>
              <w:top w:w="90" w:type="dxa"/>
              <w:left w:w="100" w:type="dxa"/>
              <w:bottom w:w="90" w:type="dxa"/>
              <w:right w:w="100" w:type="dxa"/>
            </w:tcMar>
            <w:vAlign w:val="center"/>
          </w:tcPr>
          <w:p w14:paraId="22009AC9" w14:textId="77777777" w:rsidR="00757FB5" w:rsidRDefault="00AE213B">
            <w:pPr>
              <w:spacing w:after="40" w:line="240" w:lineRule="auto"/>
              <w:jc w:val="left"/>
            </w:pPr>
            <w:r>
              <w:rPr>
                <w:rFonts w:eastAsia="Arial" w:cs="Arial"/>
              </w:rPr>
              <w:t>k-NN</w:t>
            </w:r>
          </w:p>
        </w:tc>
        <w:tc>
          <w:tcPr>
            <w:tcW w:w="1500" w:type="dxa"/>
            <w:shd w:val="clear" w:color="auto" w:fill="F3F6FA"/>
            <w:tcMar>
              <w:top w:w="90" w:type="dxa"/>
              <w:left w:w="100" w:type="dxa"/>
              <w:bottom w:w="90" w:type="dxa"/>
              <w:right w:w="100" w:type="dxa"/>
            </w:tcMar>
            <w:vAlign w:val="center"/>
          </w:tcPr>
          <w:p w14:paraId="0C3EE40B" w14:textId="77777777" w:rsidR="00757FB5" w:rsidRDefault="00AE213B">
            <w:pPr>
              <w:spacing w:after="40" w:line="240" w:lineRule="auto"/>
              <w:jc w:val="left"/>
            </w:pPr>
            <w:r>
              <w:rPr>
                <w:rFonts w:eastAsia="Arial" w:cs="Arial"/>
              </w:rPr>
              <w:t>56,217</w:t>
            </w:r>
          </w:p>
        </w:tc>
        <w:tc>
          <w:tcPr>
            <w:tcW w:w="1500" w:type="dxa"/>
            <w:shd w:val="clear" w:color="auto" w:fill="F3F6FA"/>
            <w:tcMar>
              <w:top w:w="90" w:type="dxa"/>
              <w:left w:w="100" w:type="dxa"/>
              <w:bottom w:w="90" w:type="dxa"/>
              <w:right w:w="100" w:type="dxa"/>
            </w:tcMar>
            <w:vAlign w:val="center"/>
          </w:tcPr>
          <w:p w14:paraId="63BF375C" w14:textId="77777777" w:rsidR="00757FB5" w:rsidRDefault="00AE213B">
            <w:pPr>
              <w:spacing w:after="40" w:line="240" w:lineRule="auto"/>
              <w:jc w:val="left"/>
            </w:pPr>
            <w:r>
              <w:rPr>
                <w:rFonts w:eastAsia="Arial" w:cs="Arial"/>
              </w:rPr>
              <w:t>647</w:t>
            </w:r>
          </w:p>
        </w:tc>
        <w:tc>
          <w:tcPr>
            <w:tcW w:w="1500" w:type="dxa"/>
            <w:shd w:val="clear" w:color="auto" w:fill="F3F6FA"/>
            <w:tcMar>
              <w:top w:w="90" w:type="dxa"/>
              <w:left w:w="100" w:type="dxa"/>
              <w:bottom w:w="90" w:type="dxa"/>
              <w:right w:w="100" w:type="dxa"/>
            </w:tcMar>
            <w:vAlign w:val="center"/>
          </w:tcPr>
          <w:p w14:paraId="39BBBB8F" w14:textId="77777777" w:rsidR="00757FB5" w:rsidRDefault="00AE213B">
            <w:pPr>
              <w:spacing w:after="40" w:line="240" w:lineRule="auto"/>
              <w:jc w:val="left"/>
            </w:pPr>
            <w:r>
              <w:rPr>
                <w:rFonts w:eastAsia="Arial" w:cs="Arial"/>
              </w:rPr>
              <w:t>8</w:t>
            </w:r>
          </w:p>
        </w:tc>
        <w:tc>
          <w:tcPr>
            <w:tcW w:w="1500" w:type="dxa"/>
            <w:shd w:val="clear" w:color="auto" w:fill="F3F6FA"/>
            <w:tcMar>
              <w:top w:w="90" w:type="dxa"/>
              <w:left w:w="100" w:type="dxa"/>
              <w:bottom w:w="90" w:type="dxa"/>
              <w:right w:w="100" w:type="dxa"/>
            </w:tcMar>
            <w:vAlign w:val="center"/>
          </w:tcPr>
          <w:p w14:paraId="72172F71" w14:textId="77777777" w:rsidR="00757FB5" w:rsidRDefault="00AE213B">
            <w:pPr>
              <w:spacing w:after="40" w:line="240" w:lineRule="auto"/>
              <w:jc w:val="left"/>
            </w:pPr>
            <w:r>
              <w:rPr>
                <w:rFonts w:eastAsia="Arial" w:cs="Arial"/>
              </w:rPr>
              <w:t>90</w:t>
            </w:r>
          </w:p>
        </w:tc>
      </w:tr>
      <w:tr w:rsidR="00757FB5" w14:paraId="6960A6E1" w14:textId="77777777">
        <w:trPr>
          <w:cantSplit/>
          <w:jc w:val="center"/>
        </w:trPr>
        <w:tc>
          <w:tcPr>
            <w:tcW w:w="2200" w:type="dxa"/>
            <w:tcMar>
              <w:top w:w="90" w:type="dxa"/>
              <w:left w:w="100" w:type="dxa"/>
              <w:bottom w:w="90" w:type="dxa"/>
              <w:right w:w="100" w:type="dxa"/>
            </w:tcMar>
            <w:vAlign w:val="center"/>
          </w:tcPr>
          <w:p w14:paraId="29432A31" w14:textId="77777777" w:rsidR="00757FB5" w:rsidRDefault="00AE213B">
            <w:pPr>
              <w:spacing w:after="40" w:line="240" w:lineRule="auto"/>
              <w:jc w:val="left"/>
            </w:pPr>
            <w:r>
              <w:rPr>
                <w:rFonts w:eastAsia="Arial" w:cs="Arial"/>
              </w:rPr>
              <w:t>Decision Tree</w:t>
            </w:r>
          </w:p>
        </w:tc>
        <w:tc>
          <w:tcPr>
            <w:tcW w:w="1500" w:type="dxa"/>
            <w:tcMar>
              <w:top w:w="90" w:type="dxa"/>
              <w:left w:w="100" w:type="dxa"/>
              <w:bottom w:w="90" w:type="dxa"/>
              <w:right w:w="100" w:type="dxa"/>
            </w:tcMar>
            <w:vAlign w:val="center"/>
          </w:tcPr>
          <w:p w14:paraId="10B669C1" w14:textId="77777777" w:rsidR="00757FB5" w:rsidRDefault="00AE213B">
            <w:pPr>
              <w:spacing w:after="40" w:line="240" w:lineRule="auto"/>
              <w:jc w:val="left"/>
            </w:pPr>
            <w:r>
              <w:rPr>
                <w:rFonts w:eastAsia="Arial" w:cs="Arial"/>
              </w:rPr>
              <w:t>55,823</w:t>
            </w:r>
          </w:p>
        </w:tc>
        <w:tc>
          <w:tcPr>
            <w:tcW w:w="1500" w:type="dxa"/>
            <w:tcMar>
              <w:top w:w="90" w:type="dxa"/>
              <w:left w:w="100" w:type="dxa"/>
              <w:bottom w:w="90" w:type="dxa"/>
              <w:right w:w="100" w:type="dxa"/>
            </w:tcMar>
            <w:vAlign w:val="center"/>
          </w:tcPr>
          <w:p w14:paraId="4103BD52" w14:textId="77777777" w:rsidR="00757FB5" w:rsidRDefault="00AE213B">
            <w:pPr>
              <w:spacing w:after="40" w:line="240" w:lineRule="auto"/>
              <w:jc w:val="left"/>
            </w:pPr>
            <w:r>
              <w:rPr>
                <w:rFonts w:eastAsia="Arial" w:cs="Arial"/>
              </w:rPr>
              <w:t>1,041</w:t>
            </w:r>
          </w:p>
        </w:tc>
        <w:tc>
          <w:tcPr>
            <w:tcW w:w="1500" w:type="dxa"/>
            <w:tcMar>
              <w:top w:w="90" w:type="dxa"/>
              <w:left w:w="100" w:type="dxa"/>
              <w:bottom w:w="90" w:type="dxa"/>
              <w:right w:w="100" w:type="dxa"/>
            </w:tcMar>
            <w:vAlign w:val="center"/>
          </w:tcPr>
          <w:p w14:paraId="4782D312" w14:textId="77777777" w:rsidR="00757FB5" w:rsidRDefault="00AE213B">
            <w:pPr>
              <w:spacing w:after="40" w:line="240" w:lineRule="auto"/>
              <w:jc w:val="left"/>
            </w:pPr>
            <w:r>
              <w:rPr>
                <w:rFonts w:eastAsia="Arial" w:cs="Arial"/>
              </w:rPr>
              <w:t>13</w:t>
            </w:r>
          </w:p>
        </w:tc>
        <w:tc>
          <w:tcPr>
            <w:tcW w:w="1500" w:type="dxa"/>
            <w:tcMar>
              <w:top w:w="90" w:type="dxa"/>
              <w:left w:w="100" w:type="dxa"/>
              <w:bottom w:w="90" w:type="dxa"/>
              <w:right w:w="100" w:type="dxa"/>
            </w:tcMar>
            <w:vAlign w:val="center"/>
          </w:tcPr>
          <w:p w14:paraId="00E8430B" w14:textId="77777777" w:rsidR="00757FB5" w:rsidRDefault="00AE213B">
            <w:pPr>
              <w:spacing w:after="40" w:line="240" w:lineRule="auto"/>
              <w:jc w:val="left"/>
            </w:pPr>
            <w:r>
              <w:rPr>
                <w:rFonts w:eastAsia="Arial" w:cs="Arial"/>
              </w:rPr>
              <w:t>85</w:t>
            </w:r>
          </w:p>
        </w:tc>
      </w:tr>
      <w:tr w:rsidR="00757FB5" w14:paraId="0C4437C0" w14:textId="77777777">
        <w:trPr>
          <w:cantSplit/>
          <w:jc w:val="center"/>
        </w:trPr>
        <w:tc>
          <w:tcPr>
            <w:tcW w:w="2200" w:type="dxa"/>
            <w:shd w:val="clear" w:color="auto" w:fill="F3F6FA"/>
            <w:tcMar>
              <w:top w:w="90" w:type="dxa"/>
              <w:left w:w="100" w:type="dxa"/>
              <w:bottom w:w="90" w:type="dxa"/>
              <w:right w:w="100" w:type="dxa"/>
            </w:tcMar>
            <w:vAlign w:val="center"/>
          </w:tcPr>
          <w:p w14:paraId="3BEEF42F" w14:textId="77777777" w:rsidR="00757FB5" w:rsidRDefault="00AE213B">
            <w:pPr>
              <w:spacing w:after="40" w:line="240" w:lineRule="auto"/>
              <w:jc w:val="left"/>
            </w:pPr>
            <w:r>
              <w:rPr>
                <w:rFonts w:eastAsia="Arial" w:cs="Arial"/>
              </w:rPr>
              <w:t>Linear SVM</w:t>
            </w:r>
          </w:p>
        </w:tc>
        <w:tc>
          <w:tcPr>
            <w:tcW w:w="1500" w:type="dxa"/>
            <w:shd w:val="clear" w:color="auto" w:fill="F3F6FA"/>
            <w:tcMar>
              <w:top w:w="90" w:type="dxa"/>
              <w:left w:w="100" w:type="dxa"/>
              <w:bottom w:w="90" w:type="dxa"/>
              <w:right w:w="100" w:type="dxa"/>
            </w:tcMar>
            <w:vAlign w:val="center"/>
          </w:tcPr>
          <w:p w14:paraId="591A8A56" w14:textId="77777777" w:rsidR="00757FB5" w:rsidRDefault="00AE213B">
            <w:pPr>
              <w:spacing w:after="40" w:line="240" w:lineRule="auto"/>
              <w:jc w:val="left"/>
            </w:pPr>
            <w:r>
              <w:rPr>
                <w:rFonts w:eastAsia="Arial" w:cs="Arial"/>
              </w:rPr>
              <w:t>55,573</w:t>
            </w:r>
          </w:p>
        </w:tc>
        <w:tc>
          <w:tcPr>
            <w:tcW w:w="1500" w:type="dxa"/>
            <w:shd w:val="clear" w:color="auto" w:fill="F3F6FA"/>
            <w:tcMar>
              <w:top w:w="90" w:type="dxa"/>
              <w:left w:w="100" w:type="dxa"/>
              <w:bottom w:w="90" w:type="dxa"/>
              <w:right w:w="100" w:type="dxa"/>
            </w:tcMar>
            <w:vAlign w:val="center"/>
          </w:tcPr>
          <w:p w14:paraId="6A39E838" w14:textId="77777777" w:rsidR="00757FB5" w:rsidRDefault="00AE213B">
            <w:pPr>
              <w:spacing w:after="40" w:line="240" w:lineRule="auto"/>
              <w:jc w:val="left"/>
            </w:pPr>
            <w:r>
              <w:rPr>
                <w:rFonts w:eastAsia="Arial" w:cs="Arial"/>
              </w:rPr>
              <w:t>1,291</w:t>
            </w:r>
          </w:p>
        </w:tc>
        <w:tc>
          <w:tcPr>
            <w:tcW w:w="1500" w:type="dxa"/>
            <w:shd w:val="clear" w:color="auto" w:fill="F3F6FA"/>
            <w:tcMar>
              <w:top w:w="90" w:type="dxa"/>
              <w:left w:w="100" w:type="dxa"/>
              <w:bottom w:w="90" w:type="dxa"/>
              <w:right w:w="100" w:type="dxa"/>
            </w:tcMar>
            <w:vAlign w:val="center"/>
          </w:tcPr>
          <w:p w14:paraId="4A8EAA86" w14:textId="77777777" w:rsidR="00757FB5" w:rsidRDefault="00AE213B">
            <w:pPr>
              <w:spacing w:after="40" w:line="240" w:lineRule="auto"/>
              <w:jc w:val="left"/>
            </w:pPr>
            <w:r>
              <w:rPr>
                <w:rFonts w:eastAsia="Arial" w:cs="Arial"/>
              </w:rPr>
              <w:t>9</w:t>
            </w:r>
          </w:p>
        </w:tc>
        <w:tc>
          <w:tcPr>
            <w:tcW w:w="1500" w:type="dxa"/>
            <w:shd w:val="clear" w:color="auto" w:fill="F3F6FA"/>
            <w:tcMar>
              <w:top w:w="90" w:type="dxa"/>
              <w:left w:w="100" w:type="dxa"/>
              <w:bottom w:w="90" w:type="dxa"/>
              <w:right w:w="100" w:type="dxa"/>
            </w:tcMar>
            <w:vAlign w:val="center"/>
          </w:tcPr>
          <w:p w14:paraId="5E30AC06" w14:textId="77777777" w:rsidR="00757FB5" w:rsidRDefault="00AE213B">
            <w:pPr>
              <w:spacing w:after="40" w:line="240" w:lineRule="auto"/>
              <w:jc w:val="left"/>
            </w:pPr>
            <w:r>
              <w:rPr>
                <w:rFonts w:eastAsia="Arial" w:cs="Arial"/>
              </w:rPr>
              <w:t>89</w:t>
            </w:r>
          </w:p>
        </w:tc>
      </w:tr>
      <w:tr w:rsidR="00757FB5" w14:paraId="123B2BEF" w14:textId="77777777">
        <w:trPr>
          <w:cantSplit/>
          <w:jc w:val="center"/>
        </w:trPr>
        <w:tc>
          <w:tcPr>
            <w:tcW w:w="2200" w:type="dxa"/>
            <w:tcMar>
              <w:top w:w="90" w:type="dxa"/>
              <w:left w:w="100" w:type="dxa"/>
              <w:bottom w:w="90" w:type="dxa"/>
              <w:right w:w="100" w:type="dxa"/>
            </w:tcMar>
            <w:vAlign w:val="center"/>
          </w:tcPr>
          <w:p w14:paraId="301B84DC" w14:textId="77777777" w:rsidR="00757FB5" w:rsidRDefault="00AE213B">
            <w:pPr>
              <w:spacing w:after="40" w:line="240" w:lineRule="auto"/>
              <w:jc w:val="left"/>
            </w:pPr>
            <w:r>
              <w:rPr>
                <w:rFonts w:eastAsia="Arial" w:cs="Arial"/>
              </w:rPr>
              <w:t>Logistic Regression</w:t>
            </w:r>
          </w:p>
        </w:tc>
        <w:tc>
          <w:tcPr>
            <w:tcW w:w="1500" w:type="dxa"/>
            <w:tcMar>
              <w:top w:w="90" w:type="dxa"/>
              <w:left w:w="100" w:type="dxa"/>
              <w:bottom w:w="90" w:type="dxa"/>
              <w:right w:w="100" w:type="dxa"/>
            </w:tcMar>
            <w:vAlign w:val="center"/>
          </w:tcPr>
          <w:p w14:paraId="2AC4CA09" w14:textId="77777777" w:rsidR="00757FB5" w:rsidRDefault="00AE213B">
            <w:pPr>
              <w:spacing w:after="40" w:line="240" w:lineRule="auto"/>
              <w:jc w:val="left"/>
            </w:pPr>
            <w:r>
              <w:rPr>
                <w:rFonts w:eastAsia="Arial" w:cs="Arial"/>
              </w:rPr>
              <w:t>55,396</w:t>
            </w:r>
          </w:p>
        </w:tc>
        <w:tc>
          <w:tcPr>
            <w:tcW w:w="1500" w:type="dxa"/>
            <w:tcMar>
              <w:top w:w="90" w:type="dxa"/>
              <w:left w:w="100" w:type="dxa"/>
              <w:bottom w:w="90" w:type="dxa"/>
              <w:right w:w="100" w:type="dxa"/>
            </w:tcMar>
            <w:vAlign w:val="center"/>
          </w:tcPr>
          <w:p w14:paraId="5A877424" w14:textId="77777777" w:rsidR="00757FB5" w:rsidRDefault="00AE213B">
            <w:pPr>
              <w:spacing w:after="40" w:line="240" w:lineRule="auto"/>
              <w:jc w:val="left"/>
            </w:pPr>
            <w:r>
              <w:rPr>
                <w:rFonts w:eastAsia="Arial" w:cs="Arial"/>
              </w:rPr>
              <w:t>1,468</w:t>
            </w:r>
          </w:p>
        </w:tc>
        <w:tc>
          <w:tcPr>
            <w:tcW w:w="1500" w:type="dxa"/>
            <w:tcMar>
              <w:top w:w="90" w:type="dxa"/>
              <w:left w:w="100" w:type="dxa"/>
              <w:bottom w:w="90" w:type="dxa"/>
              <w:right w:w="100" w:type="dxa"/>
            </w:tcMar>
            <w:vAlign w:val="center"/>
          </w:tcPr>
          <w:p w14:paraId="197F5DC0" w14:textId="77777777" w:rsidR="00757FB5" w:rsidRDefault="00AE213B">
            <w:pPr>
              <w:spacing w:after="40" w:line="240" w:lineRule="auto"/>
              <w:jc w:val="left"/>
            </w:pPr>
            <w:r>
              <w:rPr>
                <w:rFonts w:eastAsia="Arial" w:cs="Arial"/>
              </w:rPr>
              <w:t>8</w:t>
            </w:r>
          </w:p>
        </w:tc>
        <w:tc>
          <w:tcPr>
            <w:tcW w:w="1500" w:type="dxa"/>
            <w:tcMar>
              <w:top w:w="90" w:type="dxa"/>
              <w:left w:w="100" w:type="dxa"/>
              <w:bottom w:w="90" w:type="dxa"/>
              <w:right w:w="100" w:type="dxa"/>
            </w:tcMar>
            <w:vAlign w:val="center"/>
          </w:tcPr>
          <w:p w14:paraId="463C4BF7" w14:textId="77777777" w:rsidR="00757FB5" w:rsidRDefault="00AE213B">
            <w:pPr>
              <w:spacing w:after="40" w:line="240" w:lineRule="auto"/>
              <w:jc w:val="left"/>
            </w:pPr>
            <w:r>
              <w:rPr>
                <w:rFonts w:eastAsia="Arial" w:cs="Arial"/>
              </w:rPr>
              <w:t>90</w:t>
            </w:r>
          </w:p>
        </w:tc>
      </w:tr>
    </w:tbl>
    <w:p w14:paraId="03112434" w14:textId="77777777" w:rsidR="0070366D" w:rsidRDefault="00DF4816">
      <w:r>
        <w:rPr>
          <w:rFonts w:eastAsia="Arial" w:cs="Arial"/>
        </w:rPr>
        <w:t>The confusion matrices convert performance differences into operational consequences. Random Forest generated 96 false positives and missed 11 fraud cases. Logistic Regression detected three additional fraud cases but produced 1,468 false positives. Linear SVM detected two additional fraud cases and produced 1,291 false positives. In an investigation queue, those differences would affect the number of legitimate transactions reviewed for each additional fraud detected. The study does not assign monetary costs to these outcomes, so it cannot identify the economically optimal threshold. It can, however, show that a small recall gain may require a large increase in review volume. This is the principal reason that recall alone was not used to select the final model.</w:t>
      </w:r>
    </w:p>
    <w:p w14:paraId="43A69118" w14:textId="77777777" w:rsidR="00757FB5" w:rsidRDefault="00AE213B">
      <w:pPr>
        <w:pStyle w:val="Heading2"/>
        <w:spacing w:after="120"/>
      </w:pPr>
      <w:bookmarkStart w:id="53" w:name="_Toc244188244"/>
      <w:r>
        <w:rPr>
          <w:rFonts w:ascii="Arial" w:eastAsia="Arial" w:hAnsi="Arial" w:cs="Arial"/>
        </w:rPr>
        <w:t>4.3 Results for Research Question 2</w:t>
      </w:r>
      <w:bookmarkEnd w:id="53"/>
    </w:p>
    <w:p w14:paraId="68191405" w14:textId="77777777" w:rsidR="00757FB5" w:rsidRDefault="00AE213B">
      <w:pPr>
        <w:pStyle w:val="Heading3"/>
        <w:spacing w:before="180" w:after="120"/>
      </w:pPr>
      <w:bookmarkStart w:id="54" w:name="_Toc244188245"/>
      <w:r>
        <w:rPr>
          <w:rFonts w:ascii="Arial" w:eastAsia="Arial" w:hAnsi="Arial" w:cs="Arial"/>
        </w:rPr>
        <w:t>4.3.1 Global SHAP feature importance</w:t>
      </w:r>
      <w:bookmarkEnd w:id="54"/>
    </w:p>
    <w:p w14:paraId="2521ED8B" w14:textId="77777777" w:rsidR="00757FB5" w:rsidRDefault="00AE213B">
      <w:r>
        <w:rPr>
          <w:rFonts w:eastAsia="Arial" w:cs="Arial"/>
        </w:rPr>
        <w:t>The global SHAP analysis ranked V14 as the strongest contributor to Random Forest outputs in the 500-case explanation sample, followed by V4, V12, V10 and V17. Table 3 and Figure 4 show the ten leading components. Mean absolute SHAP values indicate the average magnitude of each feature's contribution to model output within the selected explanation sample; they do not establish causality or reveal the original business meaning of the PCA components.</w:t>
      </w:r>
    </w:p>
    <w:p w14:paraId="21A2AC4A" w14:textId="77777777" w:rsidR="00757FB5" w:rsidRDefault="00AE213B">
      <w:pPr>
        <w:keepNext/>
        <w:spacing w:before="80" w:after="80" w:line="240" w:lineRule="auto"/>
        <w:jc w:val="center"/>
      </w:pPr>
      <w:bookmarkStart w:id="55" w:name="tbl_3"/>
      <w:r>
        <w:rPr>
          <w:rFonts w:eastAsia="Arial" w:cs="Arial"/>
          <w:b/>
          <w:i/>
        </w:rPr>
        <w:t>Table 3. Leading global Random Forest features by mean absolute SHAP value.</w:t>
      </w:r>
      <w:bookmarkEnd w:id="55"/>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00"/>
        <w:gridCol w:w="2500"/>
        <w:gridCol w:w="3000"/>
      </w:tblGrid>
      <w:tr w:rsidR="00757FB5" w14:paraId="615CF1B3" w14:textId="77777777">
        <w:trPr>
          <w:cantSplit/>
          <w:tblHeader/>
          <w:jc w:val="center"/>
        </w:trPr>
        <w:tc>
          <w:tcPr>
            <w:tcW w:w="1200" w:type="dxa"/>
            <w:shd w:val="clear" w:color="auto" w:fill="17365D"/>
            <w:tcMar>
              <w:top w:w="90" w:type="dxa"/>
              <w:left w:w="100" w:type="dxa"/>
              <w:bottom w:w="90" w:type="dxa"/>
              <w:right w:w="100" w:type="dxa"/>
            </w:tcMar>
            <w:vAlign w:val="center"/>
          </w:tcPr>
          <w:p w14:paraId="78B84E99" w14:textId="77777777" w:rsidR="00757FB5" w:rsidRDefault="00AE213B">
            <w:pPr>
              <w:spacing w:after="40" w:line="240" w:lineRule="auto"/>
              <w:jc w:val="center"/>
            </w:pPr>
            <w:r>
              <w:rPr>
                <w:rFonts w:eastAsia="Arial" w:cs="Arial"/>
                <w:b/>
              </w:rPr>
              <w:t>Rank</w:t>
            </w:r>
          </w:p>
        </w:tc>
        <w:tc>
          <w:tcPr>
            <w:tcW w:w="2500" w:type="dxa"/>
            <w:shd w:val="clear" w:color="auto" w:fill="17365D"/>
            <w:tcMar>
              <w:top w:w="90" w:type="dxa"/>
              <w:left w:w="100" w:type="dxa"/>
              <w:bottom w:w="90" w:type="dxa"/>
              <w:right w:w="100" w:type="dxa"/>
            </w:tcMar>
            <w:vAlign w:val="center"/>
          </w:tcPr>
          <w:p w14:paraId="51AC3ADE" w14:textId="77777777" w:rsidR="00757FB5" w:rsidRDefault="00AE213B">
            <w:pPr>
              <w:spacing w:after="40" w:line="240" w:lineRule="auto"/>
              <w:jc w:val="center"/>
            </w:pPr>
            <w:r>
              <w:rPr>
                <w:rFonts w:eastAsia="Arial" w:cs="Arial"/>
                <w:b/>
              </w:rPr>
              <w:t>Feature</w:t>
            </w:r>
          </w:p>
        </w:tc>
        <w:tc>
          <w:tcPr>
            <w:tcW w:w="3000" w:type="dxa"/>
            <w:shd w:val="clear" w:color="auto" w:fill="17365D"/>
            <w:tcMar>
              <w:top w:w="90" w:type="dxa"/>
              <w:left w:w="100" w:type="dxa"/>
              <w:bottom w:w="90" w:type="dxa"/>
              <w:right w:w="100" w:type="dxa"/>
            </w:tcMar>
            <w:vAlign w:val="center"/>
          </w:tcPr>
          <w:p w14:paraId="575B3714" w14:textId="77777777" w:rsidR="00757FB5" w:rsidRDefault="00AE213B">
            <w:pPr>
              <w:spacing w:after="40" w:line="240" w:lineRule="auto"/>
              <w:jc w:val="center"/>
            </w:pPr>
            <w:r>
              <w:rPr>
                <w:rFonts w:eastAsia="Arial" w:cs="Arial"/>
                <w:b/>
              </w:rPr>
              <w:t>Mean absolute SHAP</w:t>
            </w:r>
          </w:p>
        </w:tc>
      </w:tr>
      <w:tr w:rsidR="00757FB5" w14:paraId="4980A47E" w14:textId="77777777">
        <w:trPr>
          <w:cantSplit/>
          <w:jc w:val="center"/>
        </w:trPr>
        <w:tc>
          <w:tcPr>
            <w:tcW w:w="1200" w:type="dxa"/>
            <w:tcMar>
              <w:top w:w="90" w:type="dxa"/>
              <w:left w:w="100" w:type="dxa"/>
              <w:bottom w:w="90" w:type="dxa"/>
              <w:right w:w="100" w:type="dxa"/>
            </w:tcMar>
            <w:vAlign w:val="center"/>
          </w:tcPr>
          <w:p w14:paraId="45B14E66" w14:textId="77777777" w:rsidR="00757FB5" w:rsidRDefault="00AE213B">
            <w:pPr>
              <w:spacing w:after="40" w:line="240" w:lineRule="auto"/>
              <w:jc w:val="left"/>
            </w:pPr>
            <w:r>
              <w:rPr>
                <w:rFonts w:eastAsia="Arial" w:cs="Arial"/>
              </w:rPr>
              <w:t>1</w:t>
            </w:r>
          </w:p>
        </w:tc>
        <w:tc>
          <w:tcPr>
            <w:tcW w:w="2500" w:type="dxa"/>
            <w:tcMar>
              <w:top w:w="90" w:type="dxa"/>
              <w:left w:w="100" w:type="dxa"/>
              <w:bottom w:w="90" w:type="dxa"/>
              <w:right w:w="100" w:type="dxa"/>
            </w:tcMar>
            <w:vAlign w:val="center"/>
          </w:tcPr>
          <w:p w14:paraId="3E1967E3" w14:textId="77777777" w:rsidR="00757FB5" w:rsidRDefault="00AE213B">
            <w:pPr>
              <w:spacing w:after="40" w:line="240" w:lineRule="auto"/>
              <w:jc w:val="left"/>
            </w:pPr>
            <w:r>
              <w:rPr>
                <w:rFonts w:eastAsia="Arial" w:cs="Arial"/>
              </w:rPr>
              <w:t>V14</w:t>
            </w:r>
          </w:p>
        </w:tc>
        <w:tc>
          <w:tcPr>
            <w:tcW w:w="3000" w:type="dxa"/>
            <w:tcMar>
              <w:top w:w="90" w:type="dxa"/>
              <w:left w:w="100" w:type="dxa"/>
              <w:bottom w:w="90" w:type="dxa"/>
              <w:right w:w="100" w:type="dxa"/>
            </w:tcMar>
            <w:vAlign w:val="center"/>
          </w:tcPr>
          <w:p w14:paraId="6FB33838" w14:textId="77777777" w:rsidR="00757FB5" w:rsidRDefault="00AE213B">
            <w:pPr>
              <w:spacing w:after="40" w:line="240" w:lineRule="auto"/>
              <w:jc w:val="left"/>
            </w:pPr>
            <w:r>
              <w:rPr>
                <w:rFonts w:eastAsia="Arial" w:cs="Arial"/>
              </w:rPr>
              <w:t>0.0978</w:t>
            </w:r>
          </w:p>
        </w:tc>
      </w:tr>
      <w:tr w:rsidR="00757FB5" w14:paraId="1CB523F5" w14:textId="77777777">
        <w:trPr>
          <w:cantSplit/>
          <w:jc w:val="center"/>
        </w:trPr>
        <w:tc>
          <w:tcPr>
            <w:tcW w:w="1200" w:type="dxa"/>
            <w:shd w:val="clear" w:color="auto" w:fill="F3F6FA"/>
            <w:tcMar>
              <w:top w:w="90" w:type="dxa"/>
              <w:left w:w="100" w:type="dxa"/>
              <w:bottom w:w="90" w:type="dxa"/>
              <w:right w:w="100" w:type="dxa"/>
            </w:tcMar>
            <w:vAlign w:val="center"/>
          </w:tcPr>
          <w:p w14:paraId="67336231" w14:textId="77777777" w:rsidR="00757FB5" w:rsidRDefault="00AE213B">
            <w:pPr>
              <w:spacing w:after="40" w:line="240" w:lineRule="auto"/>
              <w:jc w:val="left"/>
            </w:pPr>
            <w:r>
              <w:rPr>
                <w:rFonts w:eastAsia="Arial" w:cs="Arial"/>
              </w:rPr>
              <w:t>2</w:t>
            </w:r>
          </w:p>
        </w:tc>
        <w:tc>
          <w:tcPr>
            <w:tcW w:w="2500" w:type="dxa"/>
            <w:shd w:val="clear" w:color="auto" w:fill="F3F6FA"/>
            <w:tcMar>
              <w:top w:w="90" w:type="dxa"/>
              <w:left w:w="100" w:type="dxa"/>
              <w:bottom w:w="90" w:type="dxa"/>
              <w:right w:w="100" w:type="dxa"/>
            </w:tcMar>
            <w:vAlign w:val="center"/>
          </w:tcPr>
          <w:p w14:paraId="394AEBA3" w14:textId="77777777" w:rsidR="00757FB5" w:rsidRDefault="00AE213B">
            <w:pPr>
              <w:spacing w:after="40" w:line="240" w:lineRule="auto"/>
              <w:jc w:val="left"/>
            </w:pPr>
            <w:r>
              <w:rPr>
                <w:rFonts w:eastAsia="Arial" w:cs="Arial"/>
              </w:rPr>
              <w:t>V4</w:t>
            </w:r>
          </w:p>
        </w:tc>
        <w:tc>
          <w:tcPr>
            <w:tcW w:w="3000" w:type="dxa"/>
            <w:shd w:val="clear" w:color="auto" w:fill="F3F6FA"/>
            <w:tcMar>
              <w:top w:w="90" w:type="dxa"/>
              <w:left w:w="100" w:type="dxa"/>
              <w:bottom w:w="90" w:type="dxa"/>
              <w:right w:w="100" w:type="dxa"/>
            </w:tcMar>
            <w:vAlign w:val="center"/>
          </w:tcPr>
          <w:p w14:paraId="0A3E8D08" w14:textId="77777777" w:rsidR="00757FB5" w:rsidRDefault="00AE213B">
            <w:pPr>
              <w:spacing w:after="40" w:line="240" w:lineRule="auto"/>
              <w:jc w:val="left"/>
            </w:pPr>
            <w:r>
              <w:rPr>
                <w:rFonts w:eastAsia="Arial" w:cs="Arial"/>
              </w:rPr>
              <w:t>0.0729</w:t>
            </w:r>
          </w:p>
        </w:tc>
      </w:tr>
      <w:tr w:rsidR="00757FB5" w14:paraId="516C6CF4" w14:textId="77777777">
        <w:trPr>
          <w:cantSplit/>
          <w:jc w:val="center"/>
        </w:trPr>
        <w:tc>
          <w:tcPr>
            <w:tcW w:w="1200" w:type="dxa"/>
            <w:tcMar>
              <w:top w:w="90" w:type="dxa"/>
              <w:left w:w="100" w:type="dxa"/>
              <w:bottom w:w="90" w:type="dxa"/>
              <w:right w:w="100" w:type="dxa"/>
            </w:tcMar>
            <w:vAlign w:val="center"/>
          </w:tcPr>
          <w:p w14:paraId="6C311C62" w14:textId="77777777" w:rsidR="00757FB5" w:rsidRDefault="00AE213B">
            <w:pPr>
              <w:spacing w:after="40" w:line="240" w:lineRule="auto"/>
              <w:jc w:val="left"/>
            </w:pPr>
            <w:r>
              <w:rPr>
                <w:rFonts w:eastAsia="Arial" w:cs="Arial"/>
              </w:rPr>
              <w:lastRenderedPageBreak/>
              <w:t>3</w:t>
            </w:r>
          </w:p>
        </w:tc>
        <w:tc>
          <w:tcPr>
            <w:tcW w:w="2500" w:type="dxa"/>
            <w:tcMar>
              <w:top w:w="90" w:type="dxa"/>
              <w:left w:w="100" w:type="dxa"/>
              <w:bottom w:w="90" w:type="dxa"/>
              <w:right w:w="100" w:type="dxa"/>
            </w:tcMar>
            <w:vAlign w:val="center"/>
          </w:tcPr>
          <w:p w14:paraId="331AC627" w14:textId="77777777" w:rsidR="00757FB5" w:rsidRDefault="00AE213B">
            <w:pPr>
              <w:spacing w:after="40" w:line="240" w:lineRule="auto"/>
              <w:jc w:val="left"/>
            </w:pPr>
            <w:r>
              <w:rPr>
                <w:rFonts w:eastAsia="Arial" w:cs="Arial"/>
              </w:rPr>
              <w:t>V12</w:t>
            </w:r>
          </w:p>
        </w:tc>
        <w:tc>
          <w:tcPr>
            <w:tcW w:w="3000" w:type="dxa"/>
            <w:tcMar>
              <w:top w:w="90" w:type="dxa"/>
              <w:left w:w="100" w:type="dxa"/>
              <w:bottom w:w="90" w:type="dxa"/>
              <w:right w:w="100" w:type="dxa"/>
            </w:tcMar>
            <w:vAlign w:val="center"/>
          </w:tcPr>
          <w:p w14:paraId="25308509" w14:textId="77777777" w:rsidR="00757FB5" w:rsidRDefault="00AE213B">
            <w:pPr>
              <w:spacing w:after="40" w:line="240" w:lineRule="auto"/>
              <w:jc w:val="left"/>
            </w:pPr>
            <w:r>
              <w:rPr>
                <w:rFonts w:eastAsia="Arial" w:cs="Arial"/>
              </w:rPr>
              <w:t>0.0646</w:t>
            </w:r>
          </w:p>
        </w:tc>
      </w:tr>
      <w:tr w:rsidR="00757FB5" w14:paraId="746F7889" w14:textId="77777777">
        <w:trPr>
          <w:cantSplit/>
          <w:jc w:val="center"/>
        </w:trPr>
        <w:tc>
          <w:tcPr>
            <w:tcW w:w="1200" w:type="dxa"/>
            <w:shd w:val="clear" w:color="auto" w:fill="F3F6FA"/>
            <w:tcMar>
              <w:top w:w="90" w:type="dxa"/>
              <w:left w:w="100" w:type="dxa"/>
              <w:bottom w:w="90" w:type="dxa"/>
              <w:right w:w="100" w:type="dxa"/>
            </w:tcMar>
            <w:vAlign w:val="center"/>
          </w:tcPr>
          <w:p w14:paraId="479CBFCE" w14:textId="77777777" w:rsidR="00757FB5" w:rsidRDefault="00AE213B">
            <w:pPr>
              <w:spacing w:after="40" w:line="240" w:lineRule="auto"/>
              <w:jc w:val="left"/>
            </w:pPr>
            <w:r>
              <w:rPr>
                <w:rFonts w:eastAsia="Arial" w:cs="Arial"/>
              </w:rPr>
              <w:t>4</w:t>
            </w:r>
          </w:p>
        </w:tc>
        <w:tc>
          <w:tcPr>
            <w:tcW w:w="2500" w:type="dxa"/>
            <w:shd w:val="clear" w:color="auto" w:fill="F3F6FA"/>
            <w:tcMar>
              <w:top w:w="90" w:type="dxa"/>
              <w:left w:w="100" w:type="dxa"/>
              <w:bottom w:w="90" w:type="dxa"/>
              <w:right w:w="100" w:type="dxa"/>
            </w:tcMar>
            <w:vAlign w:val="center"/>
          </w:tcPr>
          <w:p w14:paraId="637722A4" w14:textId="77777777" w:rsidR="00757FB5" w:rsidRDefault="00AE213B">
            <w:pPr>
              <w:spacing w:after="40" w:line="240" w:lineRule="auto"/>
              <w:jc w:val="left"/>
            </w:pPr>
            <w:r>
              <w:rPr>
                <w:rFonts w:eastAsia="Arial" w:cs="Arial"/>
              </w:rPr>
              <w:t>V10</w:t>
            </w:r>
          </w:p>
        </w:tc>
        <w:tc>
          <w:tcPr>
            <w:tcW w:w="3000" w:type="dxa"/>
            <w:shd w:val="clear" w:color="auto" w:fill="F3F6FA"/>
            <w:tcMar>
              <w:top w:w="90" w:type="dxa"/>
              <w:left w:w="100" w:type="dxa"/>
              <w:bottom w:w="90" w:type="dxa"/>
              <w:right w:w="100" w:type="dxa"/>
            </w:tcMar>
            <w:vAlign w:val="center"/>
          </w:tcPr>
          <w:p w14:paraId="6C78E17D" w14:textId="77777777" w:rsidR="00757FB5" w:rsidRDefault="00AE213B">
            <w:pPr>
              <w:spacing w:after="40" w:line="240" w:lineRule="auto"/>
              <w:jc w:val="left"/>
            </w:pPr>
            <w:r>
              <w:rPr>
                <w:rFonts w:eastAsia="Arial" w:cs="Arial"/>
              </w:rPr>
              <w:t>0.0566</w:t>
            </w:r>
          </w:p>
        </w:tc>
      </w:tr>
      <w:tr w:rsidR="00757FB5" w14:paraId="113E04AD" w14:textId="77777777">
        <w:trPr>
          <w:cantSplit/>
          <w:jc w:val="center"/>
        </w:trPr>
        <w:tc>
          <w:tcPr>
            <w:tcW w:w="1200" w:type="dxa"/>
            <w:tcMar>
              <w:top w:w="90" w:type="dxa"/>
              <w:left w:w="100" w:type="dxa"/>
              <w:bottom w:w="90" w:type="dxa"/>
              <w:right w:w="100" w:type="dxa"/>
            </w:tcMar>
            <w:vAlign w:val="center"/>
          </w:tcPr>
          <w:p w14:paraId="737010FC" w14:textId="77777777" w:rsidR="00757FB5" w:rsidRDefault="00AE213B">
            <w:pPr>
              <w:spacing w:after="40" w:line="240" w:lineRule="auto"/>
              <w:jc w:val="left"/>
            </w:pPr>
            <w:r>
              <w:rPr>
                <w:rFonts w:eastAsia="Arial" w:cs="Arial"/>
              </w:rPr>
              <w:t>5</w:t>
            </w:r>
          </w:p>
        </w:tc>
        <w:tc>
          <w:tcPr>
            <w:tcW w:w="2500" w:type="dxa"/>
            <w:tcMar>
              <w:top w:w="90" w:type="dxa"/>
              <w:left w:w="100" w:type="dxa"/>
              <w:bottom w:w="90" w:type="dxa"/>
              <w:right w:w="100" w:type="dxa"/>
            </w:tcMar>
            <w:vAlign w:val="center"/>
          </w:tcPr>
          <w:p w14:paraId="2D487F12" w14:textId="77777777" w:rsidR="00757FB5" w:rsidRDefault="00AE213B">
            <w:pPr>
              <w:spacing w:after="40" w:line="240" w:lineRule="auto"/>
              <w:jc w:val="left"/>
            </w:pPr>
            <w:r>
              <w:rPr>
                <w:rFonts w:eastAsia="Arial" w:cs="Arial"/>
              </w:rPr>
              <w:t>V17</w:t>
            </w:r>
          </w:p>
        </w:tc>
        <w:tc>
          <w:tcPr>
            <w:tcW w:w="3000" w:type="dxa"/>
            <w:tcMar>
              <w:top w:w="90" w:type="dxa"/>
              <w:left w:w="100" w:type="dxa"/>
              <w:bottom w:w="90" w:type="dxa"/>
              <w:right w:w="100" w:type="dxa"/>
            </w:tcMar>
            <w:vAlign w:val="center"/>
          </w:tcPr>
          <w:p w14:paraId="513FA231" w14:textId="77777777" w:rsidR="00757FB5" w:rsidRDefault="00AE213B">
            <w:pPr>
              <w:spacing w:after="40" w:line="240" w:lineRule="auto"/>
              <w:jc w:val="left"/>
            </w:pPr>
            <w:r>
              <w:rPr>
                <w:rFonts w:eastAsia="Arial" w:cs="Arial"/>
              </w:rPr>
              <w:t>0.0380</w:t>
            </w:r>
          </w:p>
        </w:tc>
      </w:tr>
      <w:tr w:rsidR="00757FB5" w14:paraId="68BC8E46" w14:textId="77777777">
        <w:trPr>
          <w:cantSplit/>
          <w:jc w:val="center"/>
        </w:trPr>
        <w:tc>
          <w:tcPr>
            <w:tcW w:w="1200" w:type="dxa"/>
            <w:shd w:val="clear" w:color="auto" w:fill="F3F6FA"/>
            <w:tcMar>
              <w:top w:w="90" w:type="dxa"/>
              <w:left w:w="100" w:type="dxa"/>
              <w:bottom w:w="90" w:type="dxa"/>
              <w:right w:w="100" w:type="dxa"/>
            </w:tcMar>
            <w:vAlign w:val="center"/>
          </w:tcPr>
          <w:p w14:paraId="13461048" w14:textId="77777777" w:rsidR="00757FB5" w:rsidRDefault="00AE213B">
            <w:pPr>
              <w:spacing w:after="40" w:line="240" w:lineRule="auto"/>
              <w:jc w:val="left"/>
            </w:pPr>
            <w:r>
              <w:rPr>
                <w:rFonts w:eastAsia="Arial" w:cs="Arial"/>
              </w:rPr>
              <w:t>6</w:t>
            </w:r>
          </w:p>
        </w:tc>
        <w:tc>
          <w:tcPr>
            <w:tcW w:w="2500" w:type="dxa"/>
            <w:shd w:val="clear" w:color="auto" w:fill="F3F6FA"/>
            <w:tcMar>
              <w:top w:w="90" w:type="dxa"/>
              <w:left w:w="100" w:type="dxa"/>
              <w:bottom w:w="90" w:type="dxa"/>
              <w:right w:w="100" w:type="dxa"/>
            </w:tcMar>
            <w:vAlign w:val="center"/>
          </w:tcPr>
          <w:p w14:paraId="01EB4CD0" w14:textId="77777777" w:rsidR="00757FB5" w:rsidRDefault="00AE213B">
            <w:pPr>
              <w:spacing w:after="40" w:line="240" w:lineRule="auto"/>
              <w:jc w:val="left"/>
            </w:pPr>
            <w:r>
              <w:rPr>
                <w:rFonts w:eastAsia="Arial" w:cs="Arial"/>
              </w:rPr>
              <w:t>V11</w:t>
            </w:r>
          </w:p>
        </w:tc>
        <w:tc>
          <w:tcPr>
            <w:tcW w:w="3000" w:type="dxa"/>
            <w:shd w:val="clear" w:color="auto" w:fill="F3F6FA"/>
            <w:tcMar>
              <w:top w:w="90" w:type="dxa"/>
              <w:left w:w="100" w:type="dxa"/>
              <w:bottom w:w="90" w:type="dxa"/>
              <w:right w:w="100" w:type="dxa"/>
            </w:tcMar>
            <w:vAlign w:val="center"/>
          </w:tcPr>
          <w:p w14:paraId="3AEE72F2" w14:textId="77777777" w:rsidR="00757FB5" w:rsidRDefault="00AE213B">
            <w:pPr>
              <w:spacing w:after="40" w:line="240" w:lineRule="auto"/>
              <w:jc w:val="left"/>
            </w:pPr>
            <w:r>
              <w:rPr>
                <w:rFonts w:eastAsia="Arial" w:cs="Arial"/>
              </w:rPr>
              <w:t>0.0368</w:t>
            </w:r>
          </w:p>
        </w:tc>
      </w:tr>
      <w:tr w:rsidR="00757FB5" w14:paraId="22AB299E" w14:textId="77777777">
        <w:trPr>
          <w:cantSplit/>
          <w:jc w:val="center"/>
        </w:trPr>
        <w:tc>
          <w:tcPr>
            <w:tcW w:w="1200" w:type="dxa"/>
            <w:tcMar>
              <w:top w:w="90" w:type="dxa"/>
              <w:left w:w="100" w:type="dxa"/>
              <w:bottom w:w="90" w:type="dxa"/>
              <w:right w:w="100" w:type="dxa"/>
            </w:tcMar>
            <w:vAlign w:val="center"/>
          </w:tcPr>
          <w:p w14:paraId="24AAF48A" w14:textId="77777777" w:rsidR="00757FB5" w:rsidRDefault="00AE213B">
            <w:pPr>
              <w:spacing w:after="40" w:line="240" w:lineRule="auto"/>
              <w:jc w:val="left"/>
            </w:pPr>
            <w:r>
              <w:rPr>
                <w:rFonts w:eastAsia="Arial" w:cs="Arial"/>
              </w:rPr>
              <w:t>7</w:t>
            </w:r>
          </w:p>
        </w:tc>
        <w:tc>
          <w:tcPr>
            <w:tcW w:w="2500" w:type="dxa"/>
            <w:tcMar>
              <w:top w:w="90" w:type="dxa"/>
              <w:left w:w="100" w:type="dxa"/>
              <w:bottom w:w="90" w:type="dxa"/>
              <w:right w:w="100" w:type="dxa"/>
            </w:tcMar>
            <w:vAlign w:val="center"/>
          </w:tcPr>
          <w:p w14:paraId="4D741531" w14:textId="77777777" w:rsidR="00757FB5" w:rsidRDefault="00AE213B">
            <w:pPr>
              <w:spacing w:after="40" w:line="240" w:lineRule="auto"/>
              <w:jc w:val="left"/>
            </w:pPr>
            <w:r>
              <w:rPr>
                <w:rFonts w:eastAsia="Arial" w:cs="Arial"/>
              </w:rPr>
              <w:t>V3</w:t>
            </w:r>
          </w:p>
        </w:tc>
        <w:tc>
          <w:tcPr>
            <w:tcW w:w="3000" w:type="dxa"/>
            <w:tcMar>
              <w:top w:w="90" w:type="dxa"/>
              <w:left w:w="100" w:type="dxa"/>
              <w:bottom w:w="90" w:type="dxa"/>
              <w:right w:w="100" w:type="dxa"/>
            </w:tcMar>
            <w:vAlign w:val="center"/>
          </w:tcPr>
          <w:p w14:paraId="795DE871" w14:textId="77777777" w:rsidR="00757FB5" w:rsidRDefault="00AE213B">
            <w:pPr>
              <w:spacing w:after="40" w:line="240" w:lineRule="auto"/>
              <w:jc w:val="left"/>
            </w:pPr>
            <w:r>
              <w:rPr>
                <w:rFonts w:eastAsia="Arial" w:cs="Arial"/>
              </w:rPr>
              <w:t>0.0367</w:t>
            </w:r>
          </w:p>
        </w:tc>
      </w:tr>
      <w:tr w:rsidR="00757FB5" w14:paraId="3EEAC4CF" w14:textId="77777777">
        <w:trPr>
          <w:cantSplit/>
          <w:jc w:val="center"/>
        </w:trPr>
        <w:tc>
          <w:tcPr>
            <w:tcW w:w="1200" w:type="dxa"/>
            <w:shd w:val="clear" w:color="auto" w:fill="F3F6FA"/>
            <w:tcMar>
              <w:top w:w="90" w:type="dxa"/>
              <w:left w:w="100" w:type="dxa"/>
              <w:bottom w:w="90" w:type="dxa"/>
              <w:right w:w="100" w:type="dxa"/>
            </w:tcMar>
            <w:vAlign w:val="center"/>
          </w:tcPr>
          <w:p w14:paraId="1B6861E6" w14:textId="77777777" w:rsidR="00757FB5" w:rsidRDefault="00AE213B">
            <w:pPr>
              <w:spacing w:after="40" w:line="240" w:lineRule="auto"/>
              <w:jc w:val="left"/>
            </w:pPr>
            <w:r>
              <w:rPr>
                <w:rFonts w:eastAsia="Arial" w:cs="Arial"/>
              </w:rPr>
              <w:t>8</w:t>
            </w:r>
          </w:p>
        </w:tc>
        <w:tc>
          <w:tcPr>
            <w:tcW w:w="2500" w:type="dxa"/>
            <w:shd w:val="clear" w:color="auto" w:fill="F3F6FA"/>
            <w:tcMar>
              <w:top w:w="90" w:type="dxa"/>
              <w:left w:w="100" w:type="dxa"/>
              <w:bottom w:w="90" w:type="dxa"/>
              <w:right w:w="100" w:type="dxa"/>
            </w:tcMar>
            <w:vAlign w:val="center"/>
          </w:tcPr>
          <w:p w14:paraId="0E8083AF" w14:textId="77777777" w:rsidR="00757FB5" w:rsidRDefault="00AE213B">
            <w:pPr>
              <w:spacing w:after="40" w:line="240" w:lineRule="auto"/>
              <w:jc w:val="left"/>
            </w:pPr>
            <w:r>
              <w:rPr>
                <w:rFonts w:eastAsia="Arial" w:cs="Arial"/>
              </w:rPr>
              <w:t>V16</w:t>
            </w:r>
          </w:p>
        </w:tc>
        <w:tc>
          <w:tcPr>
            <w:tcW w:w="3000" w:type="dxa"/>
            <w:shd w:val="clear" w:color="auto" w:fill="F3F6FA"/>
            <w:tcMar>
              <w:top w:w="90" w:type="dxa"/>
              <w:left w:w="100" w:type="dxa"/>
              <w:bottom w:w="90" w:type="dxa"/>
              <w:right w:w="100" w:type="dxa"/>
            </w:tcMar>
            <w:vAlign w:val="center"/>
          </w:tcPr>
          <w:p w14:paraId="73487CDB" w14:textId="77777777" w:rsidR="00757FB5" w:rsidRDefault="00AE213B">
            <w:pPr>
              <w:spacing w:after="40" w:line="240" w:lineRule="auto"/>
              <w:jc w:val="left"/>
            </w:pPr>
            <w:r>
              <w:rPr>
                <w:rFonts w:eastAsia="Arial" w:cs="Arial"/>
              </w:rPr>
              <w:t>0.0234</w:t>
            </w:r>
          </w:p>
        </w:tc>
      </w:tr>
      <w:tr w:rsidR="00757FB5" w14:paraId="468D4A80" w14:textId="77777777">
        <w:trPr>
          <w:cantSplit/>
          <w:jc w:val="center"/>
        </w:trPr>
        <w:tc>
          <w:tcPr>
            <w:tcW w:w="1200" w:type="dxa"/>
            <w:tcMar>
              <w:top w:w="90" w:type="dxa"/>
              <w:left w:w="100" w:type="dxa"/>
              <w:bottom w:w="90" w:type="dxa"/>
              <w:right w:w="100" w:type="dxa"/>
            </w:tcMar>
            <w:vAlign w:val="center"/>
          </w:tcPr>
          <w:p w14:paraId="4F8D1EBA" w14:textId="77777777" w:rsidR="00757FB5" w:rsidRDefault="00AE213B">
            <w:pPr>
              <w:spacing w:after="40" w:line="240" w:lineRule="auto"/>
              <w:jc w:val="left"/>
            </w:pPr>
            <w:r>
              <w:rPr>
                <w:rFonts w:eastAsia="Arial" w:cs="Arial"/>
              </w:rPr>
              <w:t>9</w:t>
            </w:r>
          </w:p>
        </w:tc>
        <w:tc>
          <w:tcPr>
            <w:tcW w:w="2500" w:type="dxa"/>
            <w:tcMar>
              <w:top w:w="90" w:type="dxa"/>
              <w:left w:w="100" w:type="dxa"/>
              <w:bottom w:w="90" w:type="dxa"/>
              <w:right w:w="100" w:type="dxa"/>
            </w:tcMar>
            <w:vAlign w:val="center"/>
          </w:tcPr>
          <w:p w14:paraId="73E0A421" w14:textId="77777777" w:rsidR="00757FB5" w:rsidRDefault="00AE213B">
            <w:pPr>
              <w:spacing w:after="40" w:line="240" w:lineRule="auto"/>
              <w:jc w:val="left"/>
            </w:pPr>
            <w:r>
              <w:rPr>
                <w:rFonts w:eastAsia="Arial" w:cs="Arial"/>
              </w:rPr>
              <w:t>V7</w:t>
            </w:r>
          </w:p>
        </w:tc>
        <w:tc>
          <w:tcPr>
            <w:tcW w:w="3000" w:type="dxa"/>
            <w:tcMar>
              <w:top w:w="90" w:type="dxa"/>
              <w:left w:w="100" w:type="dxa"/>
              <w:bottom w:w="90" w:type="dxa"/>
              <w:right w:w="100" w:type="dxa"/>
            </w:tcMar>
            <w:vAlign w:val="center"/>
          </w:tcPr>
          <w:p w14:paraId="0C0568AC" w14:textId="77777777" w:rsidR="00757FB5" w:rsidRDefault="00AE213B">
            <w:pPr>
              <w:spacing w:after="40" w:line="240" w:lineRule="auto"/>
              <w:jc w:val="left"/>
            </w:pPr>
            <w:r>
              <w:rPr>
                <w:rFonts w:eastAsia="Arial" w:cs="Arial"/>
              </w:rPr>
              <w:t>0.0118</w:t>
            </w:r>
          </w:p>
        </w:tc>
      </w:tr>
      <w:tr w:rsidR="00757FB5" w14:paraId="4C910A99" w14:textId="77777777">
        <w:trPr>
          <w:cantSplit/>
          <w:jc w:val="center"/>
        </w:trPr>
        <w:tc>
          <w:tcPr>
            <w:tcW w:w="1200" w:type="dxa"/>
            <w:shd w:val="clear" w:color="auto" w:fill="F3F6FA"/>
            <w:tcMar>
              <w:top w:w="90" w:type="dxa"/>
              <w:left w:w="100" w:type="dxa"/>
              <w:bottom w:w="90" w:type="dxa"/>
              <w:right w:w="100" w:type="dxa"/>
            </w:tcMar>
            <w:vAlign w:val="center"/>
          </w:tcPr>
          <w:p w14:paraId="356FFD4C" w14:textId="77777777" w:rsidR="00757FB5" w:rsidRDefault="00AE213B">
            <w:pPr>
              <w:spacing w:after="40" w:line="240" w:lineRule="auto"/>
              <w:jc w:val="left"/>
            </w:pPr>
            <w:r>
              <w:rPr>
                <w:rFonts w:eastAsia="Arial" w:cs="Arial"/>
              </w:rPr>
              <w:t>10</w:t>
            </w:r>
          </w:p>
        </w:tc>
        <w:tc>
          <w:tcPr>
            <w:tcW w:w="2500" w:type="dxa"/>
            <w:shd w:val="clear" w:color="auto" w:fill="F3F6FA"/>
            <w:tcMar>
              <w:top w:w="90" w:type="dxa"/>
              <w:left w:w="100" w:type="dxa"/>
              <w:bottom w:w="90" w:type="dxa"/>
              <w:right w:w="100" w:type="dxa"/>
            </w:tcMar>
            <w:vAlign w:val="center"/>
          </w:tcPr>
          <w:p w14:paraId="24551C8F" w14:textId="77777777" w:rsidR="00757FB5" w:rsidRDefault="00AE213B">
            <w:pPr>
              <w:spacing w:after="40" w:line="240" w:lineRule="auto"/>
              <w:jc w:val="left"/>
            </w:pPr>
            <w:r>
              <w:rPr>
                <w:rFonts w:eastAsia="Arial" w:cs="Arial"/>
              </w:rPr>
              <w:t>V9</w:t>
            </w:r>
          </w:p>
        </w:tc>
        <w:tc>
          <w:tcPr>
            <w:tcW w:w="3000" w:type="dxa"/>
            <w:shd w:val="clear" w:color="auto" w:fill="F3F6FA"/>
            <w:tcMar>
              <w:top w:w="90" w:type="dxa"/>
              <w:left w:w="100" w:type="dxa"/>
              <w:bottom w:w="90" w:type="dxa"/>
              <w:right w:w="100" w:type="dxa"/>
            </w:tcMar>
            <w:vAlign w:val="center"/>
          </w:tcPr>
          <w:p w14:paraId="70356C85" w14:textId="77777777" w:rsidR="00757FB5" w:rsidRDefault="00AE213B">
            <w:pPr>
              <w:spacing w:after="40" w:line="240" w:lineRule="auto"/>
              <w:jc w:val="left"/>
            </w:pPr>
            <w:r>
              <w:rPr>
                <w:rFonts w:eastAsia="Arial" w:cs="Arial"/>
              </w:rPr>
              <w:t>0.0106</w:t>
            </w:r>
          </w:p>
        </w:tc>
      </w:tr>
    </w:tbl>
    <w:p w14:paraId="73507927" w14:textId="77777777" w:rsidR="00757FB5" w:rsidRDefault="00AE213B">
      <w:pPr>
        <w:keepNext/>
        <w:spacing w:before="80" w:after="80" w:line="240" w:lineRule="auto"/>
        <w:jc w:val="center"/>
      </w:pPr>
      <w:bookmarkStart w:id="56" w:name="fig_4"/>
      <w:r>
        <w:rPr>
          <w:rFonts w:eastAsia="Arial" w:cs="Arial"/>
          <w:b/>
          <w:i/>
        </w:rPr>
        <w:t>Figure 4. Global Random Forest feature importance using SHAP.</w:t>
      </w:r>
      <w:bookmarkEnd w:id="56"/>
    </w:p>
    <w:p w14:paraId="7144CABF" w14:textId="77777777" w:rsidR="00757FB5" w:rsidRDefault="00AE213B">
      <w:pPr>
        <w:keepNext/>
        <w:jc w:val="center"/>
      </w:pPr>
      <w:r>
        <w:rPr>
          <w:rFonts w:eastAsia="Arial" w:cs="Arial"/>
          <w:noProof/>
        </w:rPr>
        <w:drawing>
          <wp:inline distT="0" distB="0" distL="0" distR="0" wp14:anchorId="1B6C8728" wp14:editId="2D89CA6C">
            <wp:extent cx="5715000" cy="3429000"/>
            <wp:effectExtent l="0" t="0" r="0" b="0"/>
            <wp:docPr id="3" name="Picture 3" descr="Figure 4 Global Random Forest feature importance using SHAP" title="Figure 4 Global Random Forest feature importance using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hap_global_importance.png"/>
                    <pic:cNvPicPr/>
                  </pic:nvPicPr>
                  <pic:blipFill>
                    <a:blip r:embed="rId10"/>
                    <a:stretch>
                      <a:fillRect/>
                    </a:stretch>
                  </pic:blipFill>
                  <pic:spPr>
                    <a:xfrm>
                      <a:off x="0" y="0"/>
                      <a:ext cx="5715000" cy="3429000"/>
                    </a:xfrm>
                    <a:prstGeom prst="rect">
                      <a:avLst/>
                    </a:prstGeom>
                  </pic:spPr>
                </pic:pic>
              </a:graphicData>
            </a:graphic>
          </wp:inline>
        </w:drawing>
      </w:r>
    </w:p>
    <w:p w14:paraId="7722EBB5" w14:textId="77777777" w:rsidR="0070366D" w:rsidRDefault="00DF4816">
      <w:r>
        <w:rPr>
          <w:rFonts w:eastAsia="Arial" w:cs="Arial"/>
        </w:rPr>
        <w:t>The global SHAP ranking was concentrated in a relatively small set of transformed variables. V14 had the largest mean absolute contribution, followed by V4, V12, V10 and V17. Because the original meanings of these components are unavailable, the ranking cannot be translated into statements about merchant type, geography or customer behaviour. Its value is diagnostic: it shows where the Random Forest placed most of its predictive weight and provides a baseline for future comparison. If a later run or local dataset produced a materially different ranking, the change would warrant investigation for drift, preprocessing differences or population change. The ranking is therefore more useful as model-behaviour evidence than as a business explanation on its own.</w:t>
      </w:r>
    </w:p>
    <w:p w14:paraId="11B9755E" w14:textId="77777777" w:rsidR="00757FB5" w:rsidRDefault="00AE213B">
      <w:pPr>
        <w:pStyle w:val="Heading3"/>
        <w:spacing w:before="180" w:after="120"/>
      </w:pPr>
      <w:bookmarkStart w:id="57" w:name="_Toc244188246"/>
      <w:r>
        <w:rPr>
          <w:rFonts w:ascii="Arial" w:eastAsia="Arial" w:hAnsi="Arial" w:cs="Arial"/>
        </w:rPr>
        <w:lastRenderedPageBreak/>
        <w:t>4.3.2 Local SHAP and LIME explanations</w:t>
      </w:r>
      <w:bookmarkEnd w:id="57"/>
    </w:p>
    <w:p w14:paraId="12D85F4F" w14:textId="77777777" w:rsidR="00757FB5" w:rsidRDefault="00AE213B">
      <w:r>
        <w:rPr>
          <w:rFonts w:eastAsia="Arial" w:cs="Arial"/>
        </w:rPr>
        <w:t>Table 4 compares local explanations for four outcome types. SHAP and LIME identified the same top-five feature set for the selected true-positive and true-negative cases, producing Jaccard agreement of 1.000. Agreement decreased to 0.667 for the selected false-positive and false-negative cases. Repeated LIME stability ranged from 0.733 for the false negative to 1.000 for the true positive, indicating that explanation consistency was strongest for confidently classified examples and lower around errors.</w:t>
      </w:r>
    </w:p>
    <w:p w14:paraId="11CD0A1B" w14:textId="77777777" w:rsidR="00757FB5" w:rsidRDefault="00AE213B">
      <w:pPr>
        <w:keepNext/>
        <w:spacing w:before="80" w:after="80" w:line="240" w:lineRule="auto"/>
        <w:jc w:val="center"/>
      </w:pPr>
      <w:bookmarkStart w:id="58" w:name="tbl_4"/>
      <w:r>
        <w:rPr>
          <w:rFonts w:eastAsia="Arial" w:cs="Arial"/>
          <w:b/>
          <w:i/>
        </w:rPr>
        <w:t>Table 4. Comparison of local SHAP and LIME explanations.</w:t>
      </w:r>
      <w:bookmarkEnd w:id="58"/>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50"/>
        <w:gridCol w:w="1100"/>
        <w:gridCol w:w="2100"/>
        <w:gridCol w:w="2100"/>
        <w:gridCol w:w="1050"/>
        <w:gridCol w:w="1050"/>
      </w:tblGrid>
      <w:tr w:rsidR="00757FB5" w14:paraId="5154A180" w14:textId="77777777">
        <w:trPr>
          <w:cantSplit/>
          <w:tblHeader/>
          <w:jc w:val="center"/>
        </w:trPr>
        <w:tc>
          <w:tcPr>
            <w:tcW w:w="1350" w:type="dxa"/>
            <w:shd w:val="clear" w:color="auto" w:fill="17365D"/>
            <w:tcMar>
              <w:top w:w="90" w:type="dxa"/>
              <w:left w:w="100" w:type="dxa"/>
              <w:bottom w:w="90" w:type="dxa"/>
              <w:right w:w="100" w:type="dxa"/>
            </w:tcMar>
            <w:vAlign w:val="center"/>
          </w:tcPr>
          <w:p w14:paraId="02096E53" w14:textId="77777777" w:rsidR="00757FB5" w:rsidRDefault="00AE213B">
            <w:pPr>
              <w:spacing w:after="40" w:line="240" w:lineRule="auto"/>
              <w:jc w:val="center"/>
            </w:pPr>
            <w:r>
              <w:rPr>
                <w:rFonts w:eastAsia="Arial" w:cs="Arial"/>
                <w:b/>
              </w:rPr>
              <w:t>Case</w:t>
            </w:r>
          </w:p>
        </w:tc>
        <w:tc>
          <w:tcPr>
            <w:tcW w:w="1100" w:type="dxa"/>
            <w:shd w:val="clear" w:color="auto" w:fill="17365D"/>
            <w:tcMar>
              <w:top w:w="90" w:type="dxa"/>
              <w:left w:w="100" w:type="dxa"/>
              <w:bottom w:w="90" w:type="dxa"/>
              <w:right w:w="100" w:type="dxa"/>
            </w:tcMar>
            <w:vAlign w:val="center"/>
          </w:tcPr>
          <w:p w14:paraId="3EDA28B0" w14:textId="77777777" w:rsidR="00757FB5" w:rsidRDefault="00AE213B">
            <w:pPr>
              <w:spacing w:after="40" w:line="240" w:lineRule="auto"/>
              <w:jc w:val="center"/>
            </w:pPr>
            <w:r>
              <w:rPr>
                <w:rFonts w:eastAsia="Arial" w:cs="Arial"/>
                <w:b/>
              </w:rPr>
              <w:t>Fraud probability</w:t>
            </w:r>
          </w:p>
        </w:tc>
        <w:tc>
          <w:tcPr>
            <w:tcW w:w="2100" w:type="dxa"/>
            <w:shd w:val="clear" w:color="auto" w:fill="17365D"/>
            <w:tcMar>
              <w:top w:w="90" w:type="dxa"/>
              <w:left w:w="100" w:type="dxa"/>
              <w:bottom w:w="90" w:type="dxa"/>
              <w:right w:w="100" w:type="dxa"/>
            </w:tcMar>
            <w:vAlign w:val="center"/>
          </w:tcPr>
          <w:p w14:paraId="5257CD2B" w14:textId="77777777" w:rsidR="00757FB5" w:rsidRDefault="00AE213B">
            <w:pPr>
              <w:spacing w:after="40" w:line="240" w:lineRule="auto"/>
              <w:jc w:val="center"/>
            </w:pPr>
            <w:r>
              <w:rPr>
                <w:rFonts w:eastAsia="Arial" w:cs="Arial"/>
                <w:b/>
              </w:rPr>
              <w:t>SHAP top five</w:t>
            </w:r>
          </w:p>
        </w:tc>
        <w:tc>
          <w:tcPr>
            <w:tcW w:w="2100" w:type="dxa"/>
            <w:shd w:val="clear" w:color="auto" w:fill="17365D"/>
            <w:tcMar>
              <w:top w:w="90" w:type="dxa"/>
              <w:left w:w="100" w:type="dxa"/>
              <w:bottom w:w="90" w:type="dxa"/>
              <w:right w:w="100" w:type="dxa"/>
            </w:tcMar>
            <w:vAlign w:val="center"/>
          </w:tcPr>
          <w:p w14:paraId="0D66C450" w14:textId="77777777" w:rsidR="00757FB5" w:rsidRDefault="00AE213B">
            <w:pPr>
              <w:spacing w:after="40" w:line="240" w:lineRule="auto"/>
              <w:jc w:val="center"/>
            </w:pPr>
            <w:r>
              <w:rPr>
                <w:rFonts w:eastAsia="Arial" w:cs="Arial"/>
                <w:b/>
              </w:rPr>
              <w:t>LIME top five</w:t>
            </w:r>
          </w:p>
        </w:tc>
        <w:tc>
          <w:tcPr>
            <w:tcW w:w="1050" w:type="dxa"/>
            <w:shd w:val="clear" w:color="auto" w:fill="17365D"/>
            <w:tcMar>
              <w:top w:w="90" w:type="dxa"/>
              <w:left w:w="100" w:type="dxa"/>
              <w:bottom w:w="90" w:type="dxa"/>
              <w:right w:w="100" w:type="dxa"/>
            </w:tcMar>
            <w:vAlign w:val="center"/>
          </w:tcPr>
          <w:p w14:paraId="3A85F4CC" w14:textId="77777777" w:rsidR="00757FB5" w:rsidRDefault="00AE213B">
            <w:pPr>
              <w:spacing w:after="40" w:line="240" w:lineRule="auto"/>
              <w:jc w:val="center"/>
            </w:pPr>
            <w:r>
              <w:rPr>
                <w:rFonts w:eastAsia="Arial" w:cs="Arial"/>
                <w:b/>
              </w:rPr>
              <w:t>Agreement</w:t>
            </w:r>
          </w:p>
        </w:tc>
        <w:tc>
          <w:tcPr>
            <w:tcW w:w="1050" w:type="dxa"/>
            <w:shd w:val="clear" w:color="auto" w:fill="17365D"/>
            <w:tcMar>
              <w:top w:w="90" w:type="dxa"/>
              <w:left w:w="100" w:type="dxa"/>
              <w:bottom w:w="90" w:type="dxa"/>
              <w:right w:w="100" w:type="dxa"/>
            </w:tcMar>
            <w:vAlign w:val="center"/>
          </w:tcPr>
          <w:p w14:paraId="400D17BE" w14:textId="77777777" w:rsidR="00757FB5" w:rsidRDefault="00AE213B">
            <w:pPr>
              <w:spacing w:after="40" w:line="240" w:lineRule="auto"/>
              <w:jc w:val="center"/>
            </w:pPr>
            <w:r>
              <w:rPr>
                <w:rFonts w:eastAsia="Arial" w:cs="Arial"/>
                <w:b/>
              </w:rPr>
              <w:t>LIME stability</w:t>
            </w:r>
          </w:p>
        </w:tc>
      </w:tr>
      <w:tr w:rsidR="00757FB5" w14:paraId="19EF2F3A" w14:textId="77777777">
        <w:trPr>
          <w:cantSplit/>
          <w:jc w:val="center"/>
        </w:trPr>
        <w:tc>
          <w:tcPr>
            <w:tcW w:w="1350" w:type="dxa"/>
            <w:tcMar>
              <w:top w:w="90" w:type="dxa"/>
              <w:left w:w="100" w:type="dxa"/>
              <w:bottom w:w="90" w:type="dxa"/>
              <w:right w:w="100" w:type="dxa"/>
            </w:tcMar>
            <w:vAlign w:val="center"/>
          </w:tcPr>
          <w:p w14:paraId="36C47E4C" w14:textId="77777777" w:rsidR="00757FB5" w:rsidRDefault="00AE213B">
            <w:pPr>
              <w:spacing w:after="40" w:line="240" w:lineRule="auto"/>
              <w:jc w:val="left"/>
            </w:pPr>
            <w:r>
              <w:rPr>
                <w:rFonts w:eastAsia="Arial" w:cs="Arial"/>
              </w:rPr>
              <w:t>True positive</w:t>
            </w:r>
          </w:p>
        </w:tc>
        <w:tc>
          <w:tcPr>
            <w:tcW w:w="1100" w:type="dxa"/>
            <w:tcMar>
              <w:top w:w="90" w:type="dxa"/>
              <w:left w:w="100" w:type="dxa"/>
              <w:bottom w:w="90" w:type="dxa"/>
              <w:right w:w="100" w:type="dxa"/>
            </w:tcMar>
            <w:vAlign w:val="center"/>
          </w:tcPr>
          <w:p w14:paraId="2B2DF86F" w14:textId="77777777" w:rsidR="00757FB5" w:rsidRDefault="00AE213B">
            <w:pPr>
              <w:spacing w:after="40" w:line="240" w:lineRule="auto"/>
              <w:jc w:val="left"/>
            </w:pPr>
            <w:r>
              <w:rPr>
                <w:rFonts w:eastAsia="Arial" w:cs="Arial"/>
              </w:rPr>
              <w:t>1.000</w:t>
            </w:r>
          </w:p>
        </w:tc>
        <w:tc>
          <w:tcPr>
            <w:tcW w:w="2100" w:type="dxa"/>
            <w:tcMar>
              <w:top w:w="90" w:type="dxa"/>
              <w:left w:w="100" w:type="dxa"/>
              <w:bottom w:w="90" w:type="dxa"/>
              <w:right w:w="100" w:type="dxa"/>
            </w:tcMar>
            <w:vAlign w:val="center"/>
          </w:tcPr>
          <w:p w14:paraId="1DA09776" w14:textId="77777777" w:rsidR="00757FB5" w:rsidRDefault="00AE213B">
            <w:pPr>
              <w:spacing w:after="40" w:line="240" w:lineRule="auto"/>
              <w:jc w:val="left"/>
            </w:pPr>
            <w:r>
              <w:rPr>
                <w:rFonts w:eastAsia="Arial" w:cs="Arial"/>
              </w:rPr>
              <w:t>V14, V10, V17, V12, V4</w:t>
            </w:r>
          </w:p>
        </w:tc>
        <w:tc>
          <w:tcPr>
            <w:tcW w:w="2100" w:type="dxa"/>
            <w:tcMar>
              <w:top w:w="90" w:type="dxa"/>
              <w:left w:w="100" w:type="dxa"/>
              <w:bottom w:w="90" w:type="dxa"/>
              <w:right w:w="100" w:type="dxa"/>
            </w:tcMar>
            <w:vAlign w:val="center"/>
          </w:tcPr>
          <w:p w14:paraId="34DF5B3E" w14:textId="77777777" w:rsidR="00757FB5" w:rsidRDefault="00AE213B">
            <w:pPr>
              <w:spacing w:after="40" w:line="240" w:lineRule="auto"/>
              <w:jc w:val="left"/>
            </w:pPr>
            <w:r>
              <w:rPr>
                <w:rFonts w:eastAsia="Arial" w:cs="Arial"/>
              </w:rPr>
              <w:t>V14, V10, V17, V4, V12</w:t>
            </w:r>
          </w:p>
        </w:tc>
        <w:tc>
          <w:tcPr>
            <w:tcW w:w="1050" w:type="dxa"/>
            <w:tcMar>
              <w:top w:w="90" w:type="dxa"/>
              <w:left w:w="100" w:type="dxa"/>
              <w:bottom w:w="90" w:type="dxa"/>
              <w:right w:w="100" w:type="dxa"/>
            </w:tcMar>
            <w:vAlign w:val="center"/>
          </w:tcPr>
          <w:p w14:paraId="77BC1709" w14:textId="77777777" w:rsidR="00757FB5" w:rsidRDefault="00AE213B">
            <w:pPr>
              <w:spacing w:after="40" w:line="240" w:lineRule="auto"/>
              <w:jc w:val="left"/>
            </w:pPr>
            <w:r>
              <w:rPr>
                <w:rFonts w:eastAsia="Arial" w:cs="Arial"/>
              </w:rPr>
              <w:t>1.000</w:t>
            </w:r>
          </w:p>
        </w:tc>
        <w:tc>
          <w:tcPr>
            <w:tcW w:w="1050" w:type="dxa"/>
            <w:tcMar>
              <w:top w:w="90" w:type="dxa"/>
              <w:left w:w="100" w:type="dxa"/>
              <w:bottom w:w="90" w:type="dxa"/>
              <w:right w:w="100" w:type="dxa"/>
            </w:tcMar>
            <w:vAlign w:val="center"/>
          </w:tcPr>
          <w:p w14:paraId="05CCB959" w14:textId="77777777" w:rsidR="00757FB5" w:rsidRDefault="00AE213B">
            <w:pPr>
              <w:spacing w:after="40" w:line="240" w:lineRule="auto"/>
              <w:jc w:val="left"/>
            </w:pPr>
            <w:r>
              <w:rPr>
                <w:rFonts w:eastAsia="Arial" w:cs="Arial"/>
              </w:rPr>
              <w:t>1.000</w:t>
            </w:r>
          </w:p>
        </w:tc>
      </w:tr>
      <w:tr w:rsidR="00757FB5" w14:paraId="60B5B574" w14:textId="77777777">
        <w:trPr>
          <w:cantSplit/>
          <w:jc w:val="center"/>
        </w:trPr>
        <w:tc>
          <w:tcPr>
            <w:tcW w:w="1350" w:type="dxa"/>
            <w:shd w:val="clear" w:color="auto" w:fill="F3F6FA"/>
            <w:tcMar>
              <w:top w:w="90" w:type="dxa"/>
              <w:left w:w="100" w:type="dxa"/>
              <w:bottom w:w="90" w:type="dxa"/>
              <w:right w:w="100" w:type="dxa"/>
            </w:tcMar>
            <w:vAlign w:val="center"/>
          </w:tcPr>
          <w:p w14:paraId="07F377C6" w14:textId="77777777" w:rsidR="00757FB5" w:rsidRDefault="00AE213B">
            <w:pPr>
              <w:spacing w:after="40" w:line="240" w:lineRule="auto"/>
              <w:jc w:val="left"/>
            </w:pPr>
            <w:r>
              <w:rPr>
                <w:rFonts w:eastAsia="Arial" w:cs="Arial"/>
              </w:rPr>
              <w:t>False positive</w:t>
            </w:r>
          </w:p>
        </w:tc>
        <w:tc>
          <w:tcPr>
            <w:tcW w:w="1100" w:type="dxa"/>
            <w:shd w:val="clear" w:color="auto" w:fill="F3F6FA"/>
            <w:tcMar>
              <w:top w:w="90" w:type="dxa"/>
              <w:left w:w="100" w:type="dxa"/>
              <w:bottom w:w="90" w:type="dxa"/>
              <w:right w:w="100" w:type="dxa"/>
            </w:tcMar>
            <w:vAlign w:val="center"/>
          </w:tcPr>
          <w:p w14:paraId="2246A725" w14:textId="77777777" w:rsidR="00757FB5" w:rsidRDefault="00AE213B">
            <w:pPr>
              <w:spacing w:after="40" w:line="240" w:lineRule="auto"/>
              <w:jc w:val="left"/>
            </w:pPr>
            <w:r>
              <w:rPr>
                <w:rFonts w:eastAsia="Arial" w:cs="Arial"/>
              </w:rPr>
              <w:t>0.924</w:t>
            </w:r>
          </w:p>
        </w:tc>
        <w:tc>
          <w:tcPr>
            <w:tcW w:w="2100" w:type="dxa"/>
            <w:shd w:val="clear" w:color="auto" w:fill="F3F6FA"/>
            <w:tcMar>
              <w:top w:w="90" w:type="dxa"/>
              <w:left w:w="100" w:type="dxa"/>
              <w:bottom w:w="90" w:type="dxa"/>
              <w:right w:w="100" w:type="dxa"/>
            </w:tcMar>
            <w:vAlign w:val="center"/>
          </w:tcPr>
          <w:p w14:paraId="0B870379" w14:textId="77777777" w:rsidR="00757FB5" w:rsidRDefault="00AE213B">
            <w:pPr>
              <w:spacing w:after="40" w:line="240" w:lineRule="auto"/>
              <w:jc w:val="left"/>
            </w:pPr>
            <w:r>
              <w:rPr>
                <w:rFonts w:eastAsia="Arial" w:cs="Arial"/>
              </w:rPr>
              <w:t>V14, V17, V10, V12, V4</w:t>
            </w:r>
          </w:p>
        </w:tc>
        <w:tc>
          <w:tcPr>
            <w:tcW w:w="2100" w:type="dxa"/>
            <w:shd w:val="clear" w:color="auto" w:fill="F3F6FA"/>
            <w:tcMar>
              <w:top w:w="90" w:type="dxa"/>
              <w:left w:w="100" w:type="dxa"/>
              <w:bottom w:w="90" w:type="dxa"/>
              <w:right w:w="100" w:type="dxa"/>
            </w:tcMar>
            <w:vAlign w:val="center"/>
          </w:tcPr>
          <w:p w14:paraId="559CE1F1" w14:textId="77777777" w:rsidR="00757FB5" w:rsidRDefault="00AE213B">
            <w:pPr>
              <w:spacing w:after="40" w:line="240" w:lineRule="auto"/>
              <w:jc w:val="left"/>
            </w:pPr>
            <w:r>
              <w:rPr>
                <w:rFonts w:eastAsia="Arial" w:cs="Arial"/>
              </w:rPr>
              <w:t>V14, V17, V12, V10, V3</w:t>
            </w:r>
          </w:p>
        </w:tc>
        <w:tc>
          <w:tcPr>
            <w:tcW w:w="1050" w:type="dxa"/>
            <w:shd w:val="clear" w:color="auto" w:fill="F3F6FA"/>
            <w:tcMar>
              <w:top w:w="90" w:type="dxa"/>
              <w:left w:w="100" w:type="dxa"/>
              <w:bottom w:w="90" w:type="dxa"/>
              <w:right w:w="100" w:type="dxa"/>
            </w:tcMar>
            <w:vAlign w:val="center"/>
          </w:tcPr>
          <w:p w14:paraId="7E94C219" w14:textId="77777777" w:rsidR="00757FB5" w:rsidRDefault="00AE213B">
            <w:pPr>
              <w:spacing w:after="40" w:line="240" w:lineRule="auto"/>
              <w:jc w:val="left"/>
            </w:pPr>
            <w:r>
              <w:rPr>
                <w:rFonts w:eastAsia="Arial" w:cs="Arial"/>
              </w:rPr>
              <w:t>0.667</w:t>
            </w:r>
          </w:p>
        </w:tc>
        <w:tc>
          <w:tcPr>
            <w:tcW w:w="1050" w:type="dxa"/>
            <w:shd w:val="clear" w:color="auto" w:fill="F3F6FA"/>
            <w:tcMar>
              <w:top w:w="90" w:type="dxa"/>
              <w:left w:w="100" w:type="dxa"/>
              <w:bottom w:w="90" w:type="dxa"/>
              <w:right w:w="100" w:type="dxa"/>
            </w:tcMar>
            <w:vAlign w:val="center"/>
          </w:tcPr>
          <w:p w14:paraId="2BE73A56" w14:textId="77777777" w:rsidR="00757FB5" w:rsidRDefault="00AE213B">
            <w:pPr>
              <w:spacing w:after="40" w:line="240" w:lineRule="auto"/>
              <w:jc w:val="left"/>
            </w:pPr>
            <w:r>
              <w:rPr>
                <w:rFonts w:eastAsia="Arial" w:cs="Arial"/>
              </w:rPr>
              <w:t>0.800</w:t>
            </w:r>
          </w:p>
        </w:tc>
      </w:tr>
      <w:tr w:rsidR="00757FB5" w14:paraId="0450A16E" w14:textId="77777777">
        <w:trPr>
          <w:cantSplit/>
          <w:jc w:val="center"/>
        </w:trPr>
        <w:tc>
          <w:tcPr>
            <w:tcW w:w="1350" w:type="dxa"/>
            <w:tcMar>
              <w:top w:w="90" w:type="dxa"/>
              <w:left w:w="100" w:type="dxa"/>
              <w:bottom w:w="90" w:type="dxa"/>
              <w:right w:w="100" w:type="dxa"/>
            </w:tcMar>
            <w:vAlign w:val="center"/>
          </w:tcPr>
          <w:p w14:paraId="35FF1688" w14:textId="77777777" w:rsidR="00757FB5" w:rsidRDefault="00AE213B">
            <w:pPr>
              <w:spacing w:after="40" w:line="240" w:lineRule="auto"/>
              <w:jc w:val="left"/>
            </w:pPr>
            <w:r>
              <w:rPr>
                <w:rFonts w:eastAsia="Arial" w:cs="Arial"/>
              </w:rPr>
              <w:t>True negative</w:t>
            </w:r>
          </w:p>
        </w:tc>
        <w:tc>
          <w:tcPr>
            <w:tcW w:w="1100" w:type="dxa"/>
            <w:tcMar>
              <w:top w:w="90" w:type="dxa"/>
              <w:left w:w="100" w:type="dxa"/>
              <w:bottom w:w="90" w:type="dxa"/>
              <w:right w:w="100" w:type="dxa"/>
            </w:tcMar>
            <w:vAlign w:val="center"/>
          </w:tcPr>
          <w:p w14:paraId="16102EC2" w14:textId="77777777" w:rsidR="00757FB5" w:rsidRDefault="00AE213B">
            <w:pPr>
              <w:spacing w:after="40" w:line="240" w:lineRule="auto"/>
              <w:jc w:val="left"/>
            </w:pPr>
            <w:r>
              <w:rPr>
                <w:rFonts w:eastAsia="Arial" w:cs="Arial"/>
              </w:rPr>
              <w:t>0.001</w:t>
            </w:r>
          </w:p>
        </w:tc>
        <w:tc>
          <w:tcPr>
            <w:tcW w:w="2100" w:type="dxa"/>
            <w:tcMar>
              <w:top w:w="90" w:type="dxa"/>
              <w:left w:w="100" w:type="dxa"/>
              <w:bottom w:w="90" w:type="dxa"/>
              <w:right w:w="100" w:type="dxa"/>
            </w:tcMar>
            <w:vAlign w:val="center"/>
          </w:tcPr>
          <w:p w14:paraId="05DE89AB" w14:textId="77777777" w:rsidR="00757FB5" w:rsidRDefault="00AE213B">
            <w:pPr>
              <w:spacing w:after="40" w:line="240" w:lineRule="auto"/>
              <w:jc w:val="left"/>
            </w:pPr>
            <w:r>
              <w:rPr>
                <w:rFonts w:eastAsia="Arial" w:cs="Arial"/>
              </w:rPr>
              <w:t>V4, V14, V10, V11, V12</w:t>
            </w:r>
          </w:p>
        </w:tc>
        <w:tc>
          <w:tcPr>
            <w:tcW w:w="2100" w:type="dxa"/>
            <w:tcMar>
              <w:top w:w="90" w:type="dxa"/>
              <w:left w:w="100" w:type="dxa"/>
              <w:bottom w:w="90" w:type="dxa"/>
              <w:right w:w="100" w:type="dxa"/>
            </w:tcMar>
            <w:vAlign w:val="center"/>
          </w:tcPr>
          <w:p w14:paraId="455419A5" w14:textId="77777777" w:rsidR="00757FB5" w:rsidRDefault="00AE213B">
            <w:pPr>
              <w:spacing w:after="40" w:line="240" w:lineRule="auto"/>
              <w:jc w:val="left"/>
            </w:pPr>
            <w:r>
              <w:rPr>
                <w:rFonts w:eastAsia="Arial" w:cs="Arial"/>
              </w:rPr>
              <w:t>V4, V14, V10, V11, V12</w:t>
            </w:r>
          </w:p>
        </w:tc>
        <w:tc>
          <w:tcPr>
            <w:tcW w:w="1050" w:type="dxa"/>
            <w:tcMar>
              <w:top w:w="90" w:type="dxa"/>
              <w:left w:w="100" w:type="dxa"/>
              <w:bottom w:w="90" w:type="dxa"/>
              <w:right w:w="100" w:type="dxa"/>
            </w:tcMar>
            <w:vAlign w:val="center"/>
          </w:tcPr>
          <w:p w14:paraId="4668B571" w14:textId="77777777" w:rsidR="00757FB5" w:rsidRDefault="00AE213B">
            <w:pPr>
              <w:spacing w:after="40" w:line="240" w:lineRule="auto"/>
              <w:jc w:val="left"/>
            </w:pPr>
            <w:r>
              <w:rPr>
                <w:rFonts w:eastAsia="Arial" w:cs="Arial"/>
              </w:rPr>
              <w:t>1.000</w:t>
            </w:r>
          </w:p>
        </w:tc>
        <w:tc>
          <w:tcPr>
            <w:tcW w:w="1050" w:type="dxa"/>
            <w:tcMar>
              <w:top w:w="90" w:type="dxa"/>
              <w:left w:w="100" w:type="dxa"/>
              <w:bottom w:w="90" w:type="dxa"/>
              <w:right w:w="100" w:type="dxa"/>
            </w:tcMar>
            <w:vAlign w:val="center"/>
          </w:tcPr>
          <w:p w14:paraId="3A059C79" w14:textId="77777777" w:rsidR="00757FB5" w:rsidRDefault="00AE213B">
            <w:pPr>
              <w:spacing w:after="40" w:line="240" w:lineRule="auto"/>
              <w:jc w:val="left"/>
            </w:pPr>
            <w:r>
              <w:rPr>
                <w:rFonts w:eastAsia="Arial" w:cs="Arial"/>
              </w:rPr>
              <w:t>0.867</w:t>
            </w:r>
          </w:p>
        </w:tc>
      </w:tr>
      <w:tr w:rsidR="00757FB5" w14:paraId="3E217AAD" w14:textId="77777777">
        <w:trPr>
          <w:cantSplit/>
          <w:jc w:val="center"/>
        </w:trPr>
        <w:tc>
          <w:tcPr>
            <w:tcW w:w="1350" w:type="dxa"/>
            <w:shd w:val="clear" w:color="auto" w:fill="F3F6FA"/>
            <w:tcMar>
              <w:top w:w="90" w:type="dxa"/>
              <w:left w:w="100" w:type="dxa"/>
              <w:bottom w:w="90" w:type="dxa"/>
              <w:right w:w="100" w:type="dxa"/>
            </w:tcMar>
            <w:vAlign w:val="center"/>
          </w:tcPr>
          <w:p w14:paraId="244DB9C7" w14:textId="77777777" w:rsidR="00757FB5" w:rsidRDefault="00AE213B">
            <w:pPr>
              <w:spacing w:after="40" w:line="240" w:lineRule="auto"/>
              <w:jc w:val="left"/>
            </w:pPr>
            <w:r>
              <w:rPr>
                <w:rFonts w:eastAsia="Arial" w:cs="Arial"/>
              </w:rPr>
              <w:t>False negative</w:t>
            </w:r>
          </w:p>
        </w:tc>
        <w:tc>
          <w:tcPr>
            <w:tcW w:w="1100" w:type="dxa"/>
            <w:shd w:val="clear" w:color="auto" w:fill="F3F6FA"/>
            <w:tcMar>
              <w:top w:w="90" w:type="dxa"/>
              <w:left w:w="100" w:type="dxa"/>
              <w:bottom w:w="90" w:type="dxa"/>
              <w:right w:w="100" w:type="dxa"/>
            </w:tcMar>
            <w:vAlign w:val="center"/>
          </w:tcPr>
          <w:p w14:paraId="54DCBF57" w14:textId="77777777" w:rsidR="00757FB5" w:rsidRDefault="00AE213B">
            <w:pPr>
              <w:spacing w:after="40" w:line="240" w:lineRule="auto"/>
              <w:jc w:val="left"/>
            </w:pPr>
            <w:r>
              <w:rPr>
                <w:rFonts w:eastAsia="Arial" w:cs="Arial"/>
              </w:rPr>
              <w:t>0.004</w:t>
            </w:r>
          </w:p>
        </w:tc>
        <w:tc>
          <w:tcPr>
            <w:tcW w:w="2100" w:type="dxa"/>
            <w:shd w:val="clear" w:color="auto" w:fill="F3F6FA"/>
            <w:tcMar>
              <w:top w:w="90" w:type="dxa"/>
              <w:left w:w="100" w:type="dxa"/>
              <w:bottom w:w="90" w:type="dxa"/>
              <w:right w:w="100" w:type="dxa"/>
            </w:tcMar>
            <w:vAlign w:val="center"/>
          </w:tcPr>
          <w:p w14:paraId="33A5415A" w14:textId="77777777" w:rsidR="00757FB5" w:rsidRDefault="00AE213B">
            <w:pPr>
              <w:spacing w:after="40" w:line="240" w:lineRule="auto"/>
              <w:jc w:val="left"/>
            </w:pPr>
            <w:r>
              <w:rPr>
                <w:rFonts w:eastAsia="Arial" w:cs="Arial"/>
              </w:rPr>
              <w:t>V4, V12, V14, V3, V11</w:t>
            </w:r>
          </w:p>
        </w:tc>
        <w:tc>
          <w:tcPr>
            <w:tcW w:w="2100" w:type="dxa"/>
            <w:shd w:val="clear" w:color="auto" w:fill="F3F6FA"/>
            <w:tcMar>
              <w:top w:w="90" w:type="dxa"/>
              <w:left w:w="100" w:type="dxa"/>
              <w:bottom w:w="90" w:type="dxa"/>
              <w:right w:w="100" w:type="dxa"/>
            </w:tcMar>
            <w:vAlign w:val="center"/>
          </w:tcPr>
          <w:p w14:paraId="65C8DDE1" w14:textId="77777777" w:rsidR="00757FB5" w:rsidRDefault="00AE213B">
            <w:pPr>
              <w:spacing w:after="40" w:line="240" w:lineRule="auto"/>
              <w:jc w:val="left"/>
            </w:pPr>
            <w:r>
              <w:rPr>
                <w:rFonts w:eastAsia="Arial" w:cs="Arial"/>
              </w:rPr>
              <w:t>V4, V12, V14, V3, V17</w:t>
            </w:r>
          </w:p>
        </w:tc>
        <w:tc>
          <w:tcPr>
            <w:tcW w:w="1050" w:type="dxa"/>
            <w:shd w:val="clear" w:color="auto" w:fill="F3F6FA"/>
            <w:tcMar>
              <w:top w:w="90" w:type="dxa"/>
              <w:left w:w="100" w:type="dxa"/>
              <w:bottom w:w="90" w:type="dxa"/>
              <w:right w:w="100" w:type="dxa"/>
            </w:tcMar>
            <w:vAlign w:val="center"/>
          </w:tcPr>
          <w:p w14:paraId="65F4E5D1" w14:textId="77777777" w:rsidR="00757FB5" w:rsidRDefault="00AE213B">
            <w:pPr>
              <w:spacing w:after="40" w:line="240" w:lineRule="auto"/>
              <w:jc w:val="left"/>
            </w:pPr>
            <w:r>
              <w:rPr>
                <w:rFonts w:eastAsia="Arial" w:cs="Arial"/>
              </w:rPr>
              <w:t>0.667</w:t>
            </w:r>
          </w:p>
        </w:tc>
        <w:tc>
          <w:tcPr>
            <w:tcW w:w="1050" w:type="dxa"/>
            <w:shd w:val="clear" w:color="auto" w:fill="F3F6FA"/>
            <w:tcMar>
              <w:top w:w="90" w:type="dxa"/>
              <w:left w:w="100" w:type="dxa"/>
              <w:bottom w:w="90" w:type="dxa"/>
              <w:right w:w="100" w:type="dxa"/>
            </w:tcMar>
            <w:vAlign w:val="center"/>
          </w:tcPr>
          <w:p w14:paraId="7F215E09" w14:textId="77777777" w:rsidR="00757FB5" w:rsidRDefault="00AE213B">
            <w:pPr>
              <w:spacing w:after="40" w:line="240" w:lineRule="auto"/>
              <w:jc w:val="left"/>
            </w:pPr>
            <w:r>
              <w:rPr>
                <w:rFonts w:eastAsia="Arial" w:cs="Arial"/>
              </w:rPr>
              <w:t>0.733</w:t>
            </w:r>
          </w:p>
        </w:tc>
      </w:tr>
    </w:tbl>
    <w:p w14:paraId="256C1EFC" w14:textId="77777777" w:rsidR="0070366D" w:rsidRDefault="00DF4816">
      <w:r>
        <w:rPr>
          <w:rFonts w:eastAsia="Arial" w:cs="Arial"/>
        </w:rPr>
        <w:t>The case comparison shows why explanation evaluation must include both correct and incorrect predictions. SHAP and LIME produced complete top-five agreement for the selected true-positive and true-negative cases, suggesting that the leading local signals were clear under both methods. Agreement fell to 0.667 for the false-positive and false-negative cases. The lower agreement is consistent with the possibility that error cases lie in less stable or more ambiguous regions of the model's decision function. LIME stability also varied across cases because its explanation depends on sampled perturbations and a local surrogate. These findings support complementary use: agreement can strengthen confidence in the leading features, while disagreement can identify cases that need additional analysis rather than being hidden behind a single explanation graphic.</w:t>
      </w:r>
    </w:p>
    <w:p w14:paraId="3FED5EBF" w14:textId="77777777" w:rsidR="00757FB5" w:rsidRDefault="00AE213B">
      <w:pPr>
        <w:pStyle w:val="Heading2"/>
        <w:spacing w:after="120"/>
      </w:pPr>
      <w:bookmarkStart w:id="59" w:name="_Toc244188247"/>
      <w:r>
        <w:rPr>
          <w:rFonts w:ascii="Arial" w:eastAsia="Arial" w:hAnsi="Arial" w:cs="Arial"/>
        </w:rPr>
        <w:t>4.4 Results relevant to Research Question 3</w:t>
      </w:r>
      <w:bookmarkEnd w:id="59"/>
    </w:p>
    <w:p w14:paraId="10589DE1" w14:textId="77777777" w:rsidR="00757FB5" w:rsidRDefault="00AE213B">
      <w:r>
        <w:rPr>
          <w:rFonts w:eastAsia="Arial" w:cs="Arial"/>
        </w:rPr>
        <w:t>The experimental results identify two practical governance issues for South African financial institutions. First, a model with high fraud recall may create an investigation workload that is difficult to sustain: Logistic Regression generated 1,468 false positives in a test set containing only 98 fraud cases. Second, explanations are more dependable when methods agree and repeated runs remain stable. Error cases showed lower SHAP-</w:t>
      </w:r>
      <w:r>
        <w:rPr>
          <w:rFonts w:eastAsia="Arial" w:cs="Arial"/>
        </w:rPr>
        <w:lastRenderedPageBreak/>
        <w:t>LIME agreement and lower LIME stability than the selected confidently correct cases. These findings support human review, documented thresholds, explanation-quality checks and monitoring rather than fully automated reliance on one score or one explanation. The evidence is methodological because the data describe European transactions from September 2013, not current South African customers.</w:t>
      </w:r>
    </w:p>
    <w:p w14:paraId="32AD8812" w14:textId="77777777" w:rsidR="00757FB5" w:rsidRDefault="00AE213B">
      <w:pPr>
        <w:pStyle w:val="Heading2"/>
        <w:spacing w:after="120"/>
      </w:pPr>
      <w:bookmarkStart w:id="60" w:name="_Toc244188248"/>
      <w:r>
        <w:rPr>
          <w:rFonts w:ascii="Arial" w:eastAsia="Arial" w:hAnsi="Arial" w:cs="Arial"/>
        </w:rPr>
        <w:t>4.5 Interpretation aligned with Research Question 1</w:t>
      </w:r>
      <w:bookmarkEnd w:id="60"/>
    </w:p>
    <w:p w14:paraId="4649F162" w14:textId="77777777" w:rsidR="00757FB5" w:rsidRDefault="00AE213B">
      <w:pPr>
        <w:pStyle w:val="Heading3"/>
        <w:spacing w:before="180" w:after="120"/>
      </w:pPr>
      <w:bookmarkStart w:id="61" w:name="_Toc244188249"/>
      <w:r>
        <w:rPr>
          <w:rFonts w:ascii="Arial" w:eastAsia="Arial" w:hAnsi="Arial" w:cs="Arial"/>
        </w:rPr>
        <w:t>4.5.1 Random Forest provided the strongest overall balance</w:t>
      </w:r>
      <w:bookmarkEnd w:id="61"/>
    </w:p>
    <w:p w14:paraId="1DBE0416" w14:textId="77777777" w:rsidR="00757FB5" w:rsidRDefault="00AE213B">
      <w:r>
        <w:rPr>
          <w:rFonts w:eastAsia="Arial" w:cs="Arial"/>
        </w:rPr>
        <w:t>Random Forest achieved the highest F1-score (0.619) and PR-AUC (0.849) while detecting 87 of 98 fraud cases. This means that it retained high sensitivity with 96 false alarms, substantially fewer than the linear and nearest-neighbour alternatives. The finding is consistent with recent work reporting strong ensemble performance on imbalanced transaction data, while also confirming that results remain conditional on the data and evaluation design (Cherif et al., 2023; Khalid et al., 2024; Nobel et al., 2024). Aggregated trees probably captured nonlinear interactions among anonymised components while reducing the variance of a single tree. The theoretical implication is that ensemble diversity can improve the precision-recall balance; the practical implication is that Random Forest is the strongest candidate for further validation, not autonomous deployment. H1 is supported and RQ1 is answered under the stated experimental conditions, but precision of 0.475 means that more than half of its alerts were false positives.</w:t>
      </w:r>
    </w:p>
    <w:p w14:paraId="1DAF7E69" w14:textId="77777777" w:rsidR="00757FB5" w:rsidRDefault="00AE213B">
      <w:pPr>
        <w:pStyle w:val="Heading3"/>
        <w:spacing w:before="180" w:after="120"/>
      </w:pPr>
      <w:bookmarkStart w:id="62" w:name="_Toc244188250"/>
      <w:r>
        <w:rPr>
          <w:rFonts w:ascii="Arial" w:eastAsia="Arial" w:hAnsi="Arial" w:cs="Arial"/>
        </w:rPr>
        <w:t>4.5.2 Higher recall produced substantial false-positive costs</w:t>
      </w:r>
      <w:bookmarkEnd w:id="62"/>
    </w:p>
    <w:p w14:paraId="70914162" w14:textId="77777777" w:rsidR="00757FB5" w:rsidRDefault="00AE213B">
      <w:r>
        <w:rPr>
          <w:rFonts w:eastAsia="Arial" w:cs="Arial"/>
        </w:rPr>
        <w:t>Logistic Regression and k-NN recorded the highest recall (0.918) and each detected 90 fraud cases, but produced 1,468 and 647 false positives respectively. The operational meaning is that three additional detections relative to Random Forest required hundreds or more than a thousand additional legitimate transactions to be reviewed. This accords with evidence that imbalance treatment and threshold choices can improve sensitivity while shifting cost into false alarms (Cherif et al., 2023; Nobel et al., 2024). Training-set balancing probably moved decision boundaries toward the minority class, explaining the recall gain and the alert burden. The theoretical implication is that recall cannot be interpreted independently of prevalence and precision; the practical implication is that thresholds should reflect fraud losses, investigation capacity and customer friction. RQ1 is therefore answered through an explicit error trade-off rather than a single preferred metric.</w:t>
      </w:r>
    </w:p>
    <w:p w14:paraId="0F863222" w14:textId="77777777" w:rsidR="0070366D" w:rsidRDefault="00DF4816">
      <w:r>
        <w:rPr>
          <w:rFonts w:eastAsia="Arial" w:cs="Arial"/>
        </w:rPr>
        <w:t xml:space="preserve">The error trade-off is especially important when fraud prevalence is low. Even a classifier with a high true-negative rate can generate many false alerts because legitimate transactions dominate the population. The tested Linear SVM and Logistic Regression </w:t>
      </w:r>
      <w:r>
        <w:rPr>
          <w:rFonts w:eastAsia="Arial" w:cs="Arial"/>
        </w:rPr>
        <w:lastRenderedPageBreak/>
        <w:t>illustrate this effect: both detected slightly more fraud cases than Random Forest, but their false-positive counts were more than an order of magnitude higher. A production team would need to determine whether the incremental detections justify the added review workload and customer friction. That decision depends on transaction values, recovery rates, staffing, service standards and the consequences of delayed legitimate payments. The current dataset does not contain the local cost information required for that calculation, so the report limits its conclusion to the observed statistical trade-off.</w:t>
      </w:r>
    </w:p>
    <w:p w14:paraId="2A3DFAA0" w14:textId="77777777" w:rsidR="00757FB5" w:rsidRDefault="00AE213B">
      <w:pPr>
        <w:pStyle w:val="Heading3"/>
        <w:spacing w:before="180" w:after="120"/>
      </w:pPr>
      <w:bookmarkStart w:id="63" w:name="_Toc244188251"/>
      <w:r>
        <w:rPr>
          <w:rFonts w:ascii="Arial" w:eastAsia="Arial" w:hAnsi="Arial" w:cs="Arial"/>
        </w:rPr>
        <w:t>4.5.3 Accuracy concealed minority-class performance</w:t>
      </w:r>
      <w:bookmarkEnd w:id="63"/>
    </w:p>
    <w:p w14:paraId="26C48F6A" w14:textId="77777777" w:rsidR="00757FB5" w:rsidRDefault="00AE213B">
      <w:r>
        <w:rPr>
          <w:rFonts w:eastAsia="Arial" w:cs="Arial"/>
        </w:rPr>
        <w:t>All five models achieved accuracy between 0.974 and 0.998, yet their F1-scores ranged from 0.109 to 0.619. Accuracy therefore mainly reflected the 56,864 legitimate test transactions and did not distinguish fraud-detection quality. This agrees with Saito and Rehmsmeier (2015) and recent fraud reviews that warn against majority-dominated metrics under extreme imbalance (Cherif et al., 2023). The reason is mathematical as well as operational: true negatives dominate the denominator even when fraud alerts have poor precision. The theoretical implication is that evaluation must match the rare-event construct; the practical implication is to treat accuracy as supporting information and prioritise PR-AUC, F1 and error counts. H1 is supported and RQ1's comparison changes materially when imbalance-sensitive metrics are used.</w:t>
      </w:r>
    </w:p>
    <w:p w14:paraId="5DBE8D54" w14:textId="77777777" w:rsidR="00757FB5" w:rsidRDefault="00AE213B">
      <w:pPr>
        <w:pStyle w:val="Heading2"/>
        <w:spacing w:after="120"/>
      </w:pPr>
      <w:bookmarkStart w:id="64" w:name="_Toc244188252"/>
      <w:r>
        <w:rPr>
          <w:rFonts w:ascii="Arial" w:eastAsia="Arial" w:hAnsi="Arial" w:cs="Arial"/>
        </w:rPr>
        <w:t>4.6 Interpretation aligned with Research Question 2</w:t>
      </w:r>
      <w:bookmarkEnd w:id="64"/>
    </w:p>
    <w:p w14:paraId="7240B5B7" w14:textId="77777777" w:rsidR="00757FB5" w:rsidRDefault="00AE213B">
      <w:pPr>
        <w:pStyle w:val="Heading3"/>
        <w:spacing w:before="180" w:after="120"/>
      </w:pPr>
      <w:bookmarkStart w:id="65" w:name="_Toc244188253"/>
      <w:r>
        <w:rPr>
          <w:rFonts w:ascii="Arial" w:eastAsia="Arial" w:hAnsi="Arial" w:cs="Arial"/>
        </w:rPr>
        <w:t>4.6.1 SHAP identified a concentrated global feature set</w:t>
      </w:r>
      <w:bookmarkEnd w:id="65"/>
    </w:p>
    <w:p w14:paraId="37882464" w14:textId="77777777" w:rsidR="00757FB5" w:rsidRDefault="00AE213B">
      <w:r>
        <w:rPr>
          <w:rFonts w:eastAsia="Arial" w:cs="Arial"/>
        </w:rPr>
        <w:t>SHAP identified V14, V4, V12, V10 and V17 as the leading global components in the 500-case sample. This means that Random Forest relied more strongly on a concentrated subset of PCA features than on Time or Amount. The result is consistent with SHAP's use in fraud analytics to aggregate local attributions into model-level evidence (Lundberg and Lee, 2017; Zafar and Wu, 2026). Repeated split selection across the forest probably concentrated importance in variables that separated fraudulent and legitimate regions, but anonymisation prevents substantive claims about the underlying transaction characteristics. The theoretical implication is that global importance describes model dependence, not causality; the practical implication is that meaningful operational validation requires non-anonymised governed features. RQ2 is answered at model level only: these components drove the selected outputs, but their business meaning cannot be recovered.</w:t>
      </w:r>
    </w:p>
    <w:p w14:paraId="7CE8F45B" w14:textId="77777777" w:rsidR="0070366D" w:rsidRDefault="00DF4816">
      <w:r>
        <w:rPr>
          <w:rFonts w:eastAsia="Arial" w:cs="Arial"/>
        </w:rPr>
        <w:t xml:space="preserve">The concentration of mean absolute SHAP values provides a basis for targeted validation. An analyst can examine whether the leading components remain dominant across folds, </w:t>
      </w:r>
      <w:r>
        <w:rPr>
          <w:rFonts w:eastAsia="Arial" w:cs="Arial"/>
        </w:rPr>
        <w:lastRenderedPageBreak/>
        <w:t>time windows or institutions and whether model performance deteriorates when those relationships change. It can also guide sensitivity testing by comparing predictions before and after plausible changes to influential variables. However, concentration creates a governance risk if the model depends heavily on a small number of unstable or poorly understood signals. Because V14, V4, V12, V10 and V17 have no disclosed business meaning, the current study cannot determine whether their influence reflects durable fraud behaviour or dataset-specific structure. Local data with interpretable features would be required before translating the ranking into operational policy.</w:t>
      </w:r>
    </w:p>
    <w:p w14:paraId="0FF333B5" w14:textId="77777777" w:rsidR="00757FB5" w:rsidRDefault="00AE213B">
      <w:pPr>
        <w:pStyle w:val="Heading3"/>
        <w:spacing w:before="180" w:after="120"/>
      </w:pPr>
      <w:bookmarkStart w:id="66" w:name="_Toc244188254"/>
      <w:r>
        <w:rPr>
          <w:rFonts w:ascii="Arial" w:eastAsia="Arial" w:hAnsi="Arial" w:cs="Arial"/>
        </w:rPr>
        <w:t>4.6.2 SHAP and LIME agreed most strongly on clear cases</w:t>
      </w:r>
      <w:bookmarkEnd w:id="66"/>
    </w:p>
    <w:p w14:paraId="001368EB" w14:textId="77777777" w:rsidR="00757FB5" w:rsidRDefault="00AE213B">
      <w:r>
        <w:rPr>
          <w:rFonts w:eastAsia="Arial" w:cs="Arial"/>
        </w:rPr>
        <w:t>The selected true-positive and true-negative cases produced complete top-five overlap between SHAP and LIME, whereas the two error cases produced partial overlap of 0.667. Repeated LIME stability also declined from 1.000 for the true positive to 0.733 for the false negative. The result extends the original account of local surrogates (Ribeiro, Singh and Guestrin, 2016) and matches recent concern that local fraud explanations can be unstable or insufficiently evaluated (Zafar and Wu, 2026). Clear predictions probably occupy neighbourhoods where the fitted boundary is more stable, while errors may lie in sparse or method-sensitive regions. The theoretical implication is that explanation quality is an empirical property rather than an automatic consequence of using XAI; the practical implication is to treat disagreement as a review trigger. H2 is supported within the four selected cases, and RQ2 is answered by showing both convergent and method-sensitive local evidence.</w:t>
      </w:r>
    </w:p>
    <w:p w14:paraId="03ACC1C3" w14:textId="77777777" w:rsidR="0070366D" w:rsidRDefault="00DF4816">
      <w:r>
        <w:rPr>
          <w:rFonts w:eastAsia="Arial" w:cs="Arial"/>
        </w:rPr>
        <w:t>Cross-method agreement should be interpreted as corroboration, not ground truth. SHAP and LIME explain the fitted model from different assumptions, and both can present a coherent account of a model that has learned a non-causal or non-transferable pattern. Complete agreement on the selected true-positive case shows that the two explainers identified the same leading components, but the anonymised variables still prevent a domain expert from linking those components directly to a known fraud mechanism. Conversely, lower agreement on error cases is useful because it warns against presenting a single local explanation with excessive certainty. A responsible review process would retain the predicted probability, the raw and transformed inputs, explanation outputs from more than one method where feasible, and the analyst's final decision.</w:t>
      </w:r>
    </w:p>
    <w:p w14:paraId="159206C6" w14:textId="77777777" w:rsidR="00757FB5" w:rsidRDefault="00AE213B">
      <w:pPr>
        <w:pStyle w:val="Heading2"/>
        <w:spacing w:after="120"/>
      </w:pPr>
      <w:bookmarkStart w:id="67" w:name="_Toc244188255"/>
      <w:r>
        <w:rPr>
          <w:rFonts w:ascii="Arial" w:eastAsia="Arial" w:hAnsi="Arial" w:cs="Arial"/>
        </w:rPr>
        <w:t>4.7 Interpretation aligned with Research Question 3</w:t>
      </w:r>
      <w:bookmarkEnd w:id="67"/>
    </w:p>
    <w:p w14:paraId="1E1A8C27" w14:textId="77777777" w:rsidR="00757FB5" w:rsidRDefault="00AE213B">
      <w:r>
        <w:rPr>
          <w:rFonts w:eastAsia="Arial" w:cs="Arial"/>
        </w:rPr>
        <w:t xml:space="preserve">The latest South African evidence indicates uneven rather than uniform improvement. In SABRIC's comparable series, digital-banking crime cases increased from 97,547 in 2024 </w:t>
      </w:r>
      <w:r>
        <w:rPr>
          <w:rFonts w:eastAsia="Arial" w:cs="Arial"/>
        </w:rPr>
        <w:lastRenderedPageBreak/>
        <w:t>to 110,074 in 2025, and reported client claim amounts increased by 29.2%, from R1.863 billion to R2.407 billion. Gross fraud losses on South African-issued credit and debit cards also increased by 18.0%, from R1.479 billion to R1.745 billion. In contrast, ATM attacks declined from 301 to 163 incidents and associated cash losses decreased by 63%, while bank-robbery incidents fell from eight to two and cash losses decreased by 83% (SABRIC, 2026). These contrasting movements suggest that targeted physical-security and law-enforcement interventions are producing benefits in some categories, while digital and deception-led risks continue to intensify.</w:t>
      </w:r>
    </w:p>
    <w:p w14:paraId="7B7F7A9E" w14:textId="77777777" w:rsidR="004E24AF" w:rsidRDefault="00AE213B">
      <w:pPr>
        <w:keepLines/>
      </w:pPr>
      <w:r>
        <w:rPr>
          <w:rFonts w:eastAsia="Arial" w:cs="Arial"/>
        </w:rPr>
        <w:t>For RQ3, this comparison strengthens the interpretation that South African fraud analytics require adaptive decision support rather than reliance on one static classifier. The Random Forest result remains a methodological benchmark because the experimental data are historical European transactions; it cannot establish current local performance or explain the sector-level trend. Local institutions would need recent governed transaction data, cost-sensitive threshold testing, fairness and subgroup checks, operational validation and monitoring for changing fraud patterns. POPIA Section 71 strengthens the need for safeguards where solely automated profiling has legal or substantial effects (Republic of South Africa, 2013), while financial-XAI research positions explanations as support for accountable human decisions rather than proof of compliance (Weber, Carl and Hinz, 2024). The practical implication is a monitored human-review workflow with documented challenge and override mechanisms.</w:t>
      </w:r>
    </w:p>
    <w:p w14:paraId="648FEDD7" w14:textId="77777777" w:rsidR="0070366D" w:rsidRDefault="00DF4816">
      <w:r>
        <w:rPr>
          <w:rFonts w:eastAsia="Arial" w:cs="Arial"/>
        </w:rPr>
        <w:t>The SABRIC comparison establishes current local relevance while also revealing the limits of the benchmark. Reported digital-banking crime cases increased from 97,547 in 2024 to 110,074 in 2025, and reported claim amounts increased from R1.863 billion to R2.407 billion (SABRIC, 2026). These figures show that digital fraud continues to impose material losses, but they do not validate the European transaction model for South African deployment. SABRIC's categories describe reported crime across local channels, whereas the benchmark contains anonymised card transactions from a short historical period. The two sources operate at different levels of aggregation and cannot be merged into one performance estimate.</w:t>
      </w:r>
    </w:p>
    <w:p w14:paraId="00A4476C" w14:textId="77777777" w:rsidR="0070366D" w:rsidRDefault="00DF4816">
      <w:r>
        <w:rPr>
          <w:rFonts w:eastAsia="Arial" w:cs="Arial"/>
        </w:rPr>
        <w:t xml:space="preserve">A South African institution could nevertheless use the study as a design template. It could reproduce the leakage-safe split, compare transparent baselines with an ensemble, retain an untouched test distribution, report PR-AUC and confusion-matrix counts, and evaluate explanations on correct and incorrect cases. The institution would then need to replace the benchmark with recent local data, define fraud labels and observation windows, </w:t>
      </w:r>
      <w:r>
        <w:rPr>
          <w:rFonts w:eastAsia="Arial" w:cs="Arial"/>
        </w:rPr>
        <w:lastRenderedPageBreak/>
        <w:t>incorporate investigation outcomes and test for subgroup effects. Thresholds would have to be set against local loss and workload information. POPIA review, model documentation, access controls, human escalation and post-deployment monitoring would form part of the implementation rather than being added after technical validation.</w:t>
      </w:r>
    </w:p>
    <w:p w14:paraId="3954A671" w14:textId="77777777" w:rsidR="0070366D" w:rsidRDefault="00DF4816">
      <w:pPr>
        <w:pStyle w:val="Heading3"/>
        <w:spacing w:before="180" w:after="120"/>
      </w:pPr>
      <w:bookmarkStart w:id="68" w:name="_Toc244188256"/>
      <w:r>
        <w:rPr>
          <w:rFonts w:ascii="Arial" w:eastAsia="Arial" w:hAnsi="Arial" w:cs="Arial"/>
        </w:rPr>
        <w:t>4.7.1 Practical, theoretical and community implications</w:t>
      </w:r>
      <w:bookmarkEnd w:id="68"/>
    </w:p>
    <w:p w14:paraId="7F821D55" w14:textId="77777777" w:rsidR="0070366D" w:rsidRDefault="00DF4816">
      <w:r>
        <w:rPr>
          <w:rFonts w:eastAsia="Arial" w:cs="Arial"/>
        </w:rPr>
        <w:t>The practical and industry implication is that model selection should be connected to the operational decision it supports. Random Forest's 96 false positives were materially lower than the 647 produced by k-NN and the 1,468 produced by Logistic Regression on the same test set, even though the latter models detected three additional fraud cases. A bank should therefore avoid treating recall as an isolated target. It should value missed fraud, investigation capacity, payment delay and customer friction together, then select and document thresholds for the relevant intervention. The results also show why explanations should be retained with probabilities, model versions and analyst outcomes: agreement between SHAP and LIME was strongest for clear cases and weaker for errors, precisely where review is most important.</w:t>
      </w:r>
    </w:p>
    <w:p w14:paraId="3DAC3AD8" w14:textId="77777777" w:rsidR="0070366D" w:rsidRDefault="00DF4816">
      <w:r>
        <w:rPr>
          <w:rFonts w:eastAsia="Arial" w:cs="Arial"/>
        </w:rPr>
        <w:t>The theoretical and methodological contribution is an XAI-first view of fraud-model evaluation. Predictive performance, explanation agreement and explanation stability are treated as related empirical properties rather than as a sequence in which an opaque winner is explained after selection. The selected-case results do not establish a universal measure of explanation quality, but they demonstrate that apparently plausible explanations can vary around difficult decisions. For customers and communities, the potential benefit is a better balance between preventing financial loss and avoiding unnecessary disruption of legitimate activity. That benefit remains conditional: poorly validated models can distribute inconvenience or scrutiny unevenly, and technical explanations may not be meaningful to affected persons. Community value therefore depends on local validation, lawful data use, accessible recourse and accountable human decision-making, not only on higher model scores.</w:t>
      </w:r>
    </w:p>
    <w:p w14:paraId="135A38C7" w14:textId="77777777" w:rsidR="00757FB5" w:rsidRDefault="00AE213B">
      <w:pPr>
        <w:pStyle w:val="Heading2"/>
        <w:spacing w:after="120"/>
      </w:pPr>
      <w:bookmarkStart w:id="69" w:name="_Toc244188257"/>
      <w:r>
        <w:rPr>
          <w:rFonts w:ascii="Arial" w:eastAsia="Arial" w:hAnsi="Arial" w:cs="Arial"/>
        </w:rPr>
        <w:t>4.8 Hypothesis evaluation</w:t>
      </w:r>
      <w:bookmarkEnd w:id="69"/>
    </w:p>
    <w:p w14:paraId="0740E8A3" w14:textId="77777777" w:rsidR="00757FB5" w:rsidRDefault="00AE213B">
      <w:pPr>
        <w:pStyle w:val="ListBullet"/>
      </w:pPr>
      <w:r>
        <w:rPr>
          <w:rFonts w:eastAsia="Arial" w:cs="Arial"/>
        </w:rPr>
        <w:t>H1 (RQ1) was supported. Random Forest achieved the highest F1-score (0.619) and PR-AUC (0.849) under the common test conditions, giving it the strongest combined performance on the primary imbalance-sensitive measures.</w:t>
      </w:r>
    </w:p>
    <w:p w14:paraId="60296D7C" w14:textId="77777777" w:rsidR="00757FB5" w:rsidRDefault="00AE213B">
      <w:pPr>
        <w:pStyle w:val="ListBullet"/>
      </w:pPr>
      <w:r>
        <w:rPr>
          <w:rFonts w:eastAsia="Arial" w:cs="Arial"/>
        </w:rPr>
        <w:t xml:space="preserve">H2 (RQ2) was supported. SHAP and LIME showed complete top-five feature agreement for the selected true-positive and true-negative cases, but agreement fell to </w:t>
      </w:r>
      <w:r>
        <w:rPr>
          <w:rFonts w:eastAsia="Arial" w:cs="Arial"/>
        </w:rPr>
        <w:lastRenderedPageBreak/>
        <w:t>0.667 for both selected error cases. Repeated LIME stability was also case dependent, ranging from 0.733 to 1.000.</w:t>
      </w:r>
    </w:p>
    <w:p w14:paraId="305A17B2" w14:textId="77777777" w:rsidR="00757FB5" w:rsidRDefault="00AE213B">
      <w:pPr>
        <w:pStyle w:val="ListBullet"/>
      </w:pPr>
      <w:r>
        <w:rPr>
          <w:rFonts w:eastAsia="Arial" w:cs="Arial"/>
        </w:rPr>
        <w:t>H3 (RQ3) was supported as a bounded governance proposition. The results showed that accuracy alone concealed minority-class performance and that complementary explanations exposed case-specific agreement and uncertainty. Together with the dataset's geographic, temporal and semantic limitations, this supports local validation, documented human review and POPIA-informed oversight before institutional use; it does not establish current performance on South African banking data.</w:t>
      </w:r>
    </w:p>
    <w:p w14:paraId="0B4BE5DA" w14:textId="77777777" w:rsidR="0070366D" w:rsidRDefault="00DF4816">
      <w:r>
        <w:rPr>
          <w:rFonts w:eastAsia="Arial" w:cs="Arial"/>
        </w:rPr>
        <w:t>Taken together, the hypotheses receive qualified support. H1 is supported within the tested design because Random Forest achieved the strongest combined F1-score and PR-AUC while maintaining high recall and a much lower false-positive count than the other high-recall models. H2 is supported because SHAP and LIME produced useful global and local evidence, although lower agreement and stability on error cases show that explanation reliability is conditional. H3 is supported as a bounded governance proposition: the workflow is relevant to South African fraud-detection governance, but the dataset does not establish local predictive validity. This qualification separates methodological transfer from model transfer. The analysis supports reuse of the evaluation process, not deployment of the fitted model without new evidence.</w:t>
      </w:r>
    </w:p>
    <w:p w14:paraId="79BD9C08" w14:textId="77777777" w:rsidR="00757FB5" w:rsidRDefault="00AE213B">
      <w:pPr>
        <w:pStyle w:val="Heading2"/>
        <w:spacing w:after="120"/>
      </w:pPr>
      <w:bookmarkStart w:id="70" w:name="_Toc244188258"/>
      <w:r>
        <w:rPr>
          <w:rFonts w:ascii="Arial" w:eastAsia="Arial" w:hAnsi="Arial" w:cs="Arial"/>
        </w:rPr>
        <w:t>4.9 Chapter summary</w:t>
      </w:r>
      <w:bookmarkEnd w:id="70"/>
    </w:p>
    <w:p w14:paraId="7A17D5D0" w14:textId="77777777" w:rsidR="00757FB5" w:rsidRDefault="00AE213B">
      <w:pPr>
        <w:keepLines/>
      </w:pPr>
      <w:r>
        <w:rPr>
          <w:rFonts w:eastAsia="Arial" w:cs="Arial"/>
        </w:rPr>
        <w:t>Chapter 4 presented the Python results before interpreting them and aligned the discussion with the three research questions. Random Forest provided the strongest performance balance, accuracy alone proved insufficient, and SHAP-LIME comparison showed both strong agreement and method sensitivity. The findings support an XAI-first selection approach in which performance, operational burden and explanation quality are assessed together.</w:t>
      </w:r>
    </w:p>
    <w:p w14:paraId="7F7296F4" w14:textId="77777777" w:rsidR="00757FB5" w:rsidRDefault="00AE213B">
      <w:r>
        <w:rPr>
          <w:rFonts w:eastAsia="Arial" w:cs="Arial"/>
        </w:rPr>
        <w:br w:type="page"/>
      </w:r>
    </w:p>
    <w:p w14:paraId="6A15FB5C" w14:textId="77777777" w:rsidR="00757FB5" w:rsidRDefault="00AE213B">
      <w:pPr>
        <w:pStyle w:val="Heading1"/>
      </w:pPr>
      <w:bookmarkStart w:id="71" w:name="_Toc244188259"/>
      <w:r>
        <w:rPr>
          <w:rFonts w:ascii="Arial" w:eastAsia="Arial" w:hAnsi="Arial" w:cs="Arial"/>
        </w:rPr>
        <w:lastRenderedPageBreak/>
        <w:t>Chapter 5 Conclusions and Recommendations</w:t>
      </w:r>
      <w:bookmarkEnd w:id="71"/>
    </w:p>
    <w:p w14:paraId="6858E7D7" w14:textId="77777777" w:rsidR="00757FB5" w:rsidRDefault="00AE213B">
      <w:pPr>
        <w:pStyle w:val="Heading2"/>
        <w:spacing w:after="120"/>
      </w:pPr>
      <w:bookmarkStart w:id="72" w:name="_Toc244188260"/>
      <w:r>
        <w:rPr>
          <w:rFonts w:ascii="Arial" w:eastAsia="Arial" w:hAnsi="Arial" w:cs="Arial"/>
        </w:rPr>
        <w:t>5.1 Conclusions by research question</w:t>
      </w:r>
      <w:bookmarkEnd w:id="72"/>
    </w:p>
    <w:p w14:paraId="35C300C4" w14:textId="77777777" w:rsidR="00757FB5" w:rsidRDefault="00AE213B">
      <w:pPr>
        <w:pStyle w:val="Heading3"/>
        <w:spacing w:before="180" w:after="120"/>
      </w:pPr>
      <w:bookmarkStart w:id="73" w:name="_Toc244188261"/>
      <w:r>
        <w:rPr>
          <w:rFonts w:ascii="Arial" w:eastAsia="Arial" w:hAnsi="Arial" w:cs="Arial"/>
        </w:rPr>
        <w:t>5.1.1 Conclusion for Research Question 1</w:t>
      </w:r>
      <w:bookmarkEnd w:id="73"/>
    </w:p>
    <w:p w14:paraId="15013AFE" w14:textId="77777777" w:rsidR="00757FB5" w:rsidRDefault="00AE213B">
      <w:r>
        <w:rPr>
          <w:rFonts w:eastAsia="Arial" w:cs="Arial"/>
        </w:rPr>
        <w:t>Random Forest was the strongest of the five approved classifiers when performance was judged through F1-score, PR-AUC, recall and confusion-matrix costs. Logistic Regression and k-NN detected three additional fraud cases but created substantially more false positives. The comparison confirms that no model should be selected through accuracy alone in a dataset where fraud represents approximately 0.172% of observations.</w:t>
      </w:r>
    </w:p>
    <w:p w14:paraId="6B40E94E" w14:textId="77777777" w:rsidR="00757FB5" w:rsidRDefault="00AE213B">
      <w:pPr>
        <w:pStyle w:val="Heading3"/>
        <w:spacing w:before="180" w:after="120"/>
      </w:pPr>
      <w:bookmarkStart w:id="74" w:name="_Toc244188262"/>
      <w:r>
        <w:rPr>
          <w:rFonts w:ascii="Arial" w:eastAsia="Arial" w:hAnsi="Arial" w:cs="Arial"/>
        </w:rPr>
        <w:t>5.1.2 Conclusion for Research Question 2</w:t>
      </w:r>
      <w:bookmarkEnd w:id="74"/>
    </w:p>
    <w:p w14:paraId="344336AB" w14:textId="77777777" w:rsidR="00757FB5" w:rsidRDefault="00AE213B">
      <w:r>
        <w:rPr>
          <w:rFonts w:eastAsia="Arial" w:cs="Arial"/>
        </w:rPr>
        <w:t>V14, V4, V12, V10 and V17 were the strongest global Random Forest drivers in the selected SHAP sample. SHAP and LIME agreed fully for the selected true-positive and true-negative cases and partially for the selected errors. Repeated LIME analysis showed that local explanation stability depends on the case. The explanations identify model dependencies at PCA-component level, but they cannot recover the hidden business meaning of those components.</w:t>
      </w:r>
    </w:p>
    <w:p w14:paraId="1195162A" w14:textId="77777777" w:rsidR="00757FB5" w:rsidRDefault="00AE213B">
      <w:pPr>
        <w:pStyle w:val="Heading3"/>
        <w:spacing w:before="180" w:after="120"/>
      </w:pPr>
      <w:bookmarkStart w:id="75" w:name="_Toc244188263"/>
      <w:r>
        <w:rPr>
          <w:rFonts w:ascii="Arial" w:eastAsia="Arial" w:hAnsi="Arial" w:cs="Arial"/>
        </w:rPr>
        <w:t>5.1.3 Conclusion for Research Question 3</w:t>
      </w:r>
      <w:bookmarkEnd w:id="75"/>
    </w:p>
    <w:p w14:paraId="1F800D25" w14:textId="77777777" w:rsidR="00757FB5" w:rsidRDefault="00AE213B">
      <w:r>
        <w:rPr>
          <w:rFonts w:eastAsia="Arial" w:cs="Arial"/>
        </w:rPr>
        <w:t>For South African institutions, the main implication is that fraud-model governance must balance detection, false alarms and explainability. Random Forest provides a useful benchmark, not evidence of current local predictive performance. A responsible implementation would require South African validation data, human review, documented threshold decisions, error monitoring, explanation-quality checks and POPIA-informed safeguards.</w:t>
      </w:r>
    </w:p>
    <w:p w14:paraId="0E850DA6" w14:textId="77777777" w:rsidR="00757FB5" w:rsidRDefault="00AE213B">
      <w:pPr>
        <w:pStyle w:val="Heading2"/>
        <w:spacing w:after="120"/>
      </w:pPr>
      <w:bookmarkStart w:id="76" w:name="_Toc244188264"/>
      <w:r>
        <w:rPr>
          <w:rFonts w:ascii="Arial" w:eastAsia="Arial" w:hAnsi="Arial" w:cs="Arial"/>
        </w:rPr>
        <w:t>5.2 Contribution of the study</w:t>
      </w:r>
      <w:bookmarkEnd w:id="76"/>
    </w:p>
    <w:p w14:paraId="21695E8A" w14:textId="77777777" w:rsidR="00757FB5" w:rsidRDefault="00AE213B">
      <w:r>
        <w:rPr>
          <w:rFonts w:eastAsia="Arial" w:cs="Arial"/>
        </w:rPr>
        <w:t>The academic contribution is a controlled comparison of five algorithm families under one reproducible and leakage-conscious pipeline, supplemented by dual-method explanation evidence. The methodological contribution is the integration of PR-AUC, confusion-matrix costs, SHAP-LIME agreement and repeated LIME stability into model assessment. The practical contribution is a structured basis for discussing model selection with fraud analysts, model-risk teams and governance stakeholders. The study also shows why strong benchmark performance must be separated from claims of local deployment readiness.</w:t>
      </w:r>
    </w:p>
    <w:p w14:paraId="625CA7AD" w14:textId="77777777" w:rsidR="0070366D" w:rsidRDefault="00DF4816">
      <w:r>
        <w:rPr>
          <w:rFonts w:eastAsia="Arial" w:cs="Arial"/>
        </w:rPr>
        <w:t xml:space="preserve">The principal contribution is an integrated evaluation structure. The study brings together leakage-safe preprocessing, comparison of five classifier families, minority-sensitive </w:t>
      </w:r>
      <w:r>
        <w:rPr>
          <w:rFonts w:eastAsia="Arial" w:cs="Arial"/>
        </w:rPr>
        <w:lastRenderedPageBreak/>
        <w:t>performance measures, explicit confusion-matrix analysis and complementary SHAP-LIME assessment. It also connects those technical results to the evidence required for responsible South African use. This combination addresses a practical gap between papers that report predictive performance and papers that discuss explainability or governance in isolation. The saved scripts, metrics, explanation outputs and artefacts register make the process inspectable and repeatable. The contribution remains methodological because the data do not support a deployable local model, but a reproducible method is still valuable for institutions that need to evaluate future local data consistently.</w:t>
      </w:r>
    </w:p>
    <w:p w14:paraId="179985FF" w14:textId="77777777" w:rsidR="00757FB5" w:rsidRDefault="00AE213B">
      <w:pPr>
        <w:pStyle w:val="Heading2"/>
        <w:spacing w:after="120"/>
      </w:pPr>
      <w:bookmarkStart w:id="77" w:name="_Toc244188265"/>
      <w:r>
        <w:rPr>
          <w:rFonts w:ascii="Arial" w:eastAsia="Arial" w:hAnsi="Arial" w:cs="Arial"/>
        </w:rPr>
        <w:t>5.3 Recommendations</w:t>
      </w:r>
      <w:bookmarkEnd w:id="77"/>
    </w:p>
    <w:p w14:paraId="77B63B8F" w14:textId="77777777" w:rsidR="00757FB5" w:rsidRDefault="00AE213B">
      <w:pPr>
        <w:pStyle w:val="ListBullet"/>
      </w:pPr>
      <w:r>
        <w:rPr>
          <w:rFonts w:eastAsia="Arial" w:cs="Arial"/>
        </w:rPr>
        <w:t>Validate the selected model on recent South African banking data before any operational use, with attention to channel, customer and fraud-type differences.</w:t>
      </w:r>
    </w:p>
    <w:p w14:paraId="2517D86F" w14:textId="77777777" w:rsidR="00757FB5" w:rsidRDefault="00AE213B">
      <w:pPr>
        <w:pStyle w:val="ListBullet"/>
      </w:pPr>
      <w:r>
        <w:rPr>
          <w:rFonts w:eastAsia="Arial" w:cs="Arial"/>
        </w:rPr>
        <w:t>Select classification thresholds through explicit fraud-loss, investigation-capacity and customer-friction scenarios rather than accepting a default probability cut-off.</w:t>
      </w:r>
    </w:p>
    <w:p w14:paraId="1ED6DAFD" w14:textId="77777777" w:rsidR="00757FB5" w:rsidRDefault="00AE213B">
      <w:pPr>
        <w:pStyle w:val="ListBullet"/>
      </w:pPr>
      <w:r>
        <w:rPr>
          <w:rFonts w:eastAsia="Arial" w:cs="Arial"/>
        </w:rPr>
        <w:t>Retain human review for consequential alerts and document how analysts can inspect, challenge and override model-supported decisions.</w:t>
      </w:r>
    </w:p>
    <w:p w14:paraId="339BEC62" w14:textId="77777777" w:rsidR="00757FB5" w:rsidRDefault="00AE213B">
      <w:pPr>
        <w:pStyle w:val="ListBullet"/>
      </w:pPr>
      <w:r>
        <w:rPr>
          <w:rFonts w:eastAsia="Arial" w:cs="Arial"/>
        </w:rPr>
        <w:t>Use SHAP for portfolio-level monitoring and case explanations, and use LIME or another independent local method as a comparison when explanations affect investigation or customer outcomes.</w:t>
      </w:r>
    </w:p>
    <w:p w14:paraId="7FC84896" w14:textId="77777777" w:rsidR="00757FB5" w:rsidRDefault="00AE213B">
      <w:pPr>
        <w:pStyle w:val="ListBullet"/>
      </w:pPr>
      <w:r>
        <w:rPr>
          <w:rFonts w:eastAsia="Arial" w:cs="Arial"/>
        </w:rPr>
        <w:t>Monitor performance, drift, subgroup error rates, explanation stability and false-positive workload after implementation; define review triggers before deployment.</w:t>
      </w:r>
    </w:p>
    <w:p w14:paraId="41958C4B" w14:textId="77777777" w:rsidR="00757FB5" w:rsidRDefault="00AE213B">
      <w:pPr>
        <w:pStyle w:val="ListBullet"/>
      </w:pPr>
      <w:r>
        <w:rPr>
          <w:rFonts w:eastAsia="Arial" w:cs="Arial"/>
        </w:rPr>
        <w:t>Record data provenance, model versions, training settings, thresholds and explanation configurations so that decisions can be reproduced and audited.</w:t>
      </w:r>
    </w:p>
    <w:p w14:paraId="2133DF02" w14:textId="77777777" w:rsidR="0070366D" w:rsidRDefault="00DF4816">
      <w:r>
        <w:rPr>
          <w:rFonts w:eastAsia="Arial" w:cs="Arial"/>
        </w:rPr>
        <w:t>Before operational use, a financial institution should conduct a prospective local validation using recent transactions and labels that reflect its own fraud-investigation process. Model selection should be tied to a documented cost framework that values missed fraud, false alerts, delayed payments and analyst capacity. The institution should then select and approve thresholds for specific uses rather than relying on a default probability cut-off. Explanation requirements should be defined by audience: technical diagnostics for model developers, concise case evidence for investigators and suitable reasons for customer-facing processes. Versioned data, code, parameters, thresholds and explanation configurations should be retained so that a later decision can be reconstructed.</w:t>
      </w:r>
    </w:p>
    <w:p w14:paraId="5DFF0752" w14:textId="77777777" w:rsidR="00757FB5" w:rsidRDefault="00AE213B">
      <w:pPr>
        <w:pStyle w:val="Heading2"/>
        <w:spacing w:after="120"/>
      </w:pPr>
      <w:bookmarkStart w:id="78" w:name="_Toc244188266"/>
      <w:r>
        <w:rPr>
          <w:rFonts w:ascii="Arial" w:eastAsia="Arial" w:hAnsi="Arial" w:cs="Arial"/>
        </w:rPr>
        <w:lastRenderedPageBreak/>
        <w:t>5.4 Study limitations</w:t>
      </w:r>
      <w:bookmarkEnd w:id="78"/>
    </w:p>
    <w:p w14:paraId="1BC8CC74" w14:textId="77777777" w:rsidR="00757FB5" w:rsidRDefault="00AE213B">
      <w:r>
        <w:rPr>
          <w:rFonts w:eastAsia="Arial" w:cs="Arial"/>
        </w:rPr>
        <w:t>The dataset contains European card transactions from September 2013 and cannot represent current South African fraud prevalence, customer behaviour or channel-specific threats. V1-V28 are anonymised PCA components, which prevents domain interpretation of the leading SHAP and LIME features. The experiment used one stratified train-test split, one bounded parameter configuration per model and a computationally reduced majority training sample. The explainability analysis used 500 cases for global SHAP and four representative cases for local comparison; it does not establish population-wide explanation stability. SMOTE-generated observations may not reflect every form of real fraud. Finally, post-hoc feature attributions describe associations with model output and should not be interpreted as causal explanations.</w:t>
      </w:r>
    </w:p>
    <w:p w14:paraId="015834B1" w14:textId="77777777" w:rsidR="0070366D" w:rsidRDefault="00DF4816">
      <w:r>
        <w:rPr>
          <w:rFonts w:eastAsia="Arial" w:cs="Arial"/>
        </w:rPr>
        <w:t>Several limitations interact rather than operating independently. The historical European sample restricts geographic and temporal transfer, while the two-day observation window prevents analysis of seasonality and concept drift. PCA anonymisation protects confidentiality but prevents substantive interpretation of the leading SHAP and LIME features. The experiment compares a defined set of conventional classifiers and fixed configurations, so it does not establish the best attainable model. SMOTE and undersampling alter the training distribution and may affect calibration even when test evaluation remains valid. Finally, explanation agreement was examined on selected cases and cannot establish reliability across every transaction. These limitations bound the claims but do not invalidate the controlled comparisons reported in the study.</w:t>
      </w:r>
    </w:p>
    <w:p w14:paraId="2FEA26C5" w14:textId="77777777" w:rsidR="00757FB5" w:rsidRDefault="00AE213B">
      <w:pPr>
        <w:pStyle w:val="Heading2"/>
        <w:spacing w:after="120"/>
      </w:pPr>
      <w:bookmarkStart w:id="79" w:name="_Toc244188267"/>
      <w:r>
        <w:rPr>
          <w:rFonts w:ascii="Arial" w:eastAsia="Arial" w:hAnsi="Arial" w:cs="Arial"/>
        </w:rPr>
        <w:t>5.5 Future research</w:t>
      </w:r>
      <w:bookmarkEnd w:id="79"/>
    </w:p>
    <w:p w14:paraId="44DE1D72" w14:textId="77777777" w:rsidR="00757FB5" w:rsidRDefault="00AE213B">
      <w:r>
        <w:rPr>
          <w:rFonts w:eastAsia="Arial" w:cs="Arial"/>
        </w:rPr>
        <w:t>Future work should evaluate recent, locally governed South African datasets and compare results across fraud channels and time periods. Repeated stratified cross-validation, bootstrap confidence intervals, calibration and cost-sensitive threshold optimisation would strengthen statistical claims. Advanced models such as gradient boosting may be added only through a documented methodology and ethics review. Explanation analysis should include more cases, repeated SHAP background samples, subgroup stability and direct evaluation with fraud analysts. Where semantically meaningful variables are available, researchers should examine whether explanations support real operational decisions rather than only reproduce model rankings.</w:t>
      </w:r>
    </w:p>
    <w:p w14:paraId="181C8781" w14:textId="77777777" w:rsidR="0070366D" w:rsidRDefault="00DF4816">
      <w:r>
        <w:rPr>
          <w:rFonts w:eastAsia="Arial" w:cs="Arial"/>
        </w:rPr>
        <w:t xml:space="preserve">Future work should evaluate the framework on recent South African banking data collected over a longer period. A time-based validation would test whether performance and explanation rankings remain stable as fraud behaviour changes. Cost-sensitive learning </w:t>
      </w:r>
      <w:r>
        <w:rPr>
          <w:rFonts w:eastAsia="Arial" w:cs="Arial"/>
        </w:rPr>
        <w:lastRenderedPageBreak/>
        <w:t>and threshold optimisation could incorporate transaction value, recovery probability and review capacity. Calibration analysis would determine whether predicted probabilities correspond to observed risk, while subgroup testing could identify uneven error rates across products or customer segments where lawful and appropriate. Explanation research should move beyond feature overlap to include analyst studies that test whether explanations improve decisions, reduce review time or create misleading confidence. Comparing post-hoc explanations with transparent models would also clarify when additional model complexity is justified.</w:t>
      </w:r>
    </w:p>
    <w:p w14:paraId="19871D02" w14:textId="77777777" w:rsidR="00757FB5" w:rsidRDefault="00AE213B">
      <w:pPr>
        <w:pStyle w:val="Heading2"/>
        <w:spacing w:after="120"/>
      </w:pPr>
      <w:bookmarkStart w:id="80" w:name="_Toc244188268"/>
      <w:r>
        <w:rPr>
          <w:rFonts w:ascii="Arial" w:eastAsia="Arial" w:hAnsi="Arial" w:cs="Arial"/>
        </w:rPr>
        <w:t>5.6 Final conclusion</w:t>
      </w:r>
      <w:bookmarkEnd w:id="80"/>
    </w:p>
    <w:p w14:paraId="6F709197" w14:textId="77777777" w:rsidR="00757FB5" w:rsidRDefault="00AE213B">
      <w:r>
        <w:rPr>
          <w:rFonts w:eastAsia="Arial" w:cs="Arial"/>
        </w:rPr>
        <w:t>The study found that Random Forest offered the best balance between fraud detection and false-alarm control under the approved experimental conditions. SHAP and LIME added evidence about the model's global and local decision logic and revealed that explanation agreement was weaker for selected error cases. These results support an XAI-first approach in which predictive performance, explanation quality and governance are considered together. The evidence remains a methodological benchmark. Responsible use in South Africa requires local validation, human oversight and ongoing accountability.</w:t>
      </w:r>
    </w:p>
    <w:p w14:paraId="4C8E5314" w14:textId="77777777" w:rsidR="0070366D" w:rsidRDefault="00DF4816">
      <w:r>
        <w:rPr>
          <w:rFonts w:eastAsia="Arial" w:cs="Arial"/>
        </w:rPr>
        <w:t>The study demonstrates that responsible model comparison requires more than selecting the highest accuracy value. Random Forest offered the strongest balance in this experiment because its minority-class performance and false-positive burden compared favourably with the alternatives. SHAP and LIME made that model more inspectable, while their weaker agreement on error cases showed why explanations should be tested and reviewed. The South African evidence confirms a pressing fraud-management need, but it does not convert the historical European model into a local solution. The defensible outcome is therefore a reproducible evaluation framework and a set of governance requirements for future local validation.</w:t>
      </w:r>
    </w:p>
    <w:p w14:paraId="0B15FE9C" w14:textId="77777777" w:rsidR="00757FB5" w:rsidRDefault="00AE213B">
      <w:pPr>
        <w:pStyle w:val="Heading1"/>
      </w:pPr>
      <w:bookmarkStart w:id="81" w:name="_Toc244188269"/>
      <w:r>
        <w:rPr>
          <w:rFonts w:ascii="Arial" w:eastAsia="Arial" w:hAnsi="Arial" w:cs="Arial"/>
        </w:rPr>
        <w:t>References</w:t>
      </w:r>
      <w:bookmarkEnd w:id="81"/>
    </w:p>
    <w:p w14:paraId="65D56011" w14:textId="1DD9B824" w:rsidR="00680932" w:rsidRDefault="00AE213B" w:rsidP="00D70527">
      <w:pPr>
        <w:numPr>
          <w:ilvl w:val="0"/>
          <w:numId w:val="23"/>
        </w:numPr>
        <w:ind w:hanging="720"/>
        <w:jc w:val="left"/>
      </w:pPr>
      <w:r>
        <w:rPr>
          <w:rFonts w:eastAsia="Arial" w:cs="Arial"/>
        </w:rPr>
        <w:t xml:space="preserve">Aljunaid, S.K., Almheiri, S.J., Dawood, H. and Khan, M.A. (2025) 'Secure and transparent banking: Explainable AI-driven federated learning model for financial fraud detection', Journal of Risk and Financial Management, 18(4), 179. </w:t>
      </w:r>
      <w:hyperlink r:id="rId11" w:history="1">
        <w:r w:rsidR="00D70527" w:rsidRPr="00B165A5">
          <w:rPr>
            <w:rStyle w:val="Hyperlink"/>
          </w:rPr>
          <w:t>https://doi.org/10.3390/jrfm18040179</w:t>
        </w:r>
      </w:hyperlink>
      <w:r>
        <w:rPr>
          <w:rFonts w:eastAsia="Arial" w:cs="Arial"/>
        </w:rPr>
        <w:t>.</w:t>
      </w:r>
      <w:r w:rsidR="00D70527">
        <w:rPr>
          <w:rFonts w:eastAsia="Arial" w:cs="Arial"/>
        </w:rPr>
        <w:t xml:space="preserve"> </w:t>
      </w:r>
    </w:p>
    <w:p w14:paraId="45D34B42" w14:textId="16199D3C" w:rsidR="00680932" w:rsidRDefault="00AE213B" w:rsidP="00D70527">
      <w:pPr>
        <w:numPr>
          <w:ilvl w:val="0"/>
          <w:numId w:val="23"/>
        </w:numPr>
        <w:ind w:hanging="720"/>
        <w:jc w:val="left"/>
      </w:pPr>
      <w:r>
        <w:rPr>
          <w:rFonts w:eastAsia="Arial" w:cs="Arial"/>
        </w:rPr>
        <w:t xml:space="preserve">Bolton, R.J. and Hand, D.J. (2002) 'Statistical fraud detection: A review', Statistical Science, 17(3), pp. 235-255. </w:t>
      </w:r>
      <w:hyperlink r:id="rId12" w:history="1">
        <w:r w:rsidR="00D70527" w:rsidRPr="00B165A5">
          <w:rPr>
            <w:rStyle w:val="Hyperlink"/>
          </w:rPr>
          <w:t>https://doi.org/10.1214/ss/1042727940</w:t>
        </w:r>
      </w:hyperlink>
      <w:r>
        <w:rPr>
          <w:rFonts w:eastAsia="Arial" w:cs="Arial"/>
        </w:rPr>
        <w:t>.</w:t>
      </w:r>
      <w:r w:rsidR="00D70527">
        <w:rPr>
          <w:rFonts w:eastAsia="Arial" w:cs="Arial"/>
        </w:rPr>
        <w:t xml:space="preserve"> </w:t>
      </w:r>
    </w:p>
    <w:p w14:paraId="55FB1012" w14:textId="1041013C" w:rsidR="00680932" w:rsidRDefault="00AE213B" w:rsidP="00D70527">
      <w:pPr>
        <w:numPr>
          <w:ilvl w:val="0"/>
          <w:numId w:val="23"/>
        </w:numPr>
        <w:ind w:hanging="720"/>
        <w:jc w:val="left"/>
      </w:pPr>
      <w:r>
        <w:rPr>
          <w:rFonts w:eastAsia="Arial" w:cs="Arial"/>
        </w:rPr>
        <w:lastRenderedPageBreak/>
        <w:t xml:space="preserve">Chawla, N.V., Bowyer, K.W., Hall, L.O. and Kegelmeyer, W.P. (2002) 'SMOTE: Synthetic minority over-sampling technique', Journal of Artificial Intelligence Research, 16, pp. 321-357. </w:t>
      </w:r>
      <w:hyperlink r:id="rId13" w:history="1">
        <w:r w:rsidR="00D70527" w:rsidRPr="00B165A5">
          <w:rPr>
            <w:rStyle w:val="Hyperlink"/>
          </w:rPr>
          <w:t>https://doi.org/10.1613/jair.953</w:t>
        </w:r>
      </w:hyperlink>
      <w:r>
        <w:rPr>
          <w:rFonts w:eastAsia="Arial" w:cs="Arial"/>
        </w:rPr>
        <w:t>.</w:t>
      </w:r>
      <w:r w:rsidR="00D70527">
        <w:rPr>
          <w:rFonts w:eastAsia="Arial" w:cs="Arial"/>
        </w:rPr>
        <w:t xml:space="preserve"> </w:t>
      </w:r>
    </w:p>
    <w:p w14:paraId="1BA46E5D" w14:textId="2A951EA3" w:rsidR="00680932" w:rsidRDefault="00AE213B" w:rsidP="00D70527">
      <w:pPr>
        <w:numPr>
          <w:ilvl w:val="0"/>
          <w:numId w:val="23"/>
        </w:numPr>
        <w:ind w:hanging="720"/>
        <w:jc w:val="left"/>
      </w:pPr>
      <w:r>
        <w:rPr>
          <w:rFonts w:eastAsia="Arial" w:cs="Arial"/>
        </w:rPr>
        <w:t xml:space="preserve">Cherif, A., Badhib, A., Ammar, H., Alshehri, S., Kalkatawi, M. and Imine, A. (2023) 'Credit card fraud detection in the era of disruptive technologies: A systematic review', Journal of King Saud University - Computer and Information Sciences, 35, pp. 145-174. </w:t>
      </w:r>
      <w:hyperlink r:id="rId14" w:history="1">
        <w:r w:rsidR="00D70527" w:rsidRPr="00B165A5">
          <w:rPr>
            <w:rStyle w:val="Hyperlink"/>
          </w:rPr>
          <w:t>https://doi.org/10.1016/j.jksuci.2022.11.008</w:t>
        </w:r>
      </w:hyperlink>
      <w:r>
        <w:rPr>
          <w:rFonts w:eastAsia="Arial" w:cs="Arial"/>
        </w:rPr>
        <w:t>.</w:t>
      </w:r>
      <w:r w:rsidR="00D70527">
        <w:rPr>
          <w:rFonts w:eastAsia="Arial" w:cs="Arial"/>
        </w:rPr>
        <w:t xml:space="preserve"> </w:t>
      </w:r>
    </w:p>
    <w:p w14:paraId="0E2AA7E0" w14:textId="77777777" w:rsidR="00680932" w:rsidRDefault="00AE213B" w:rsidP="00D70527">
      <w:pPr>
        <w:numPr>
          <w:ilvl w:val="0"/>
          <w:numId w:val="23"/>
        </w:numPr>
        <w:ind w:hanging="720"/>
        <w:jc w:val="left"/>
      </w:pPr>
      <w:r>
        <w:rPr>
          <w:rFonts w:eastAsia="Arial" w:cs="Arial"/>
        </w:rPr>
        <w:t>Creswell, J.W. and Creswell, J.D. (2018) Research Design: Qualitative, Quantitative, and Mixed Methods Approaches. 5th edn. Thousand Oaks, CA: SAGE.</w:t>
      </w:r>
    </w:p>
    <w:p w14:paraId="1576F7CC" w14:textId="662ADD1B" w:rsidR="00680932" w:rsidRDefault="00AE213B" w:rsidP="00D70527">
      <w:pPr>
        <w:numPr>
          <w:ilvl w:val="0"/>
          <w:numId w:val="23"/>
        </w:numPr>
        <w:ind w:hanging="720"/>
        <w:jc w:val="left"/>
      </w:pPr>
      <w:r>
        <w:rPr>
          <w:rFonts w:eastAsia="Arial" w:cs="Arial"/>
        </w:rPr>
        <w:t xml:space="preserve">Hastie, T., Tibshirani, R. and Friedman, J. (2009) The Elements of Statistical Learning. 2nd edn. New York: Springer. </w:t>
      </w:r>
      <w:hyperlink r:id="rId15" w:history="1">
        <w:r w:rsidR="00D70527" w:rsidRPr="00B165A5">
          <w:rPr>
            <w:rStyle w:val="Hyperlink"/>
          </w:rPr>
          <w:t>https://doi.org/10.1007/978-0-387-84858-7</w:t>
        </w:r>
      </w:hyperlink>
      <w:r>
        <w:rPr>
          <w:rFonts w:eastAsia="Arial" w:cs="Arial"/>
        </w:rPr>
        <w:t>.</w:t>
      </w:r>
      <w:r w:rsidR="00D70527">
        <w:rPr>
          <w:rFonts w:eastAsia="Arial" w:cs="Arial"/>
        </w:rPr>
        <w:t xml:space="preserve"> </w:t>
      </w:r>
    </w:p>
    <w:p w14:paraId="100D0229" w14:textId="3256A522" w:rsidR="00680932" w:rsidRDefault="00AE213B" w:rsidP="00D70527">
      <w:pPr>
        <w:numPr>
          <w:ilvl w:val="0"/>
          <w:numId w:val="23"/>
        </w:numPr>
        <w:ind w:hanging="720"/>
        <w:jc w:val="left"/>
      </w:pPr>
      <w:r>
        <w:rPr>
          <w:rFonts w:eastAsia="Arial" w:cs="Arial"/>
        </w:rPr>
        <w:t xml:space="preserve">imbalanced-learn (2026) Common pitfalls and recommended practices: Data leakage. Available at: </w:t>
      </w:r>
      <w:hyperlink r:id="rId16" w:history="1">
        <w:r w:rsidR="00D70527" w:rsidRPr="00B165A5">
          <w:rPr>
            <w:rStyle w:val="Hyperlink"/>
          </w:rPr>
          <w:t>https://imbalanced-learn.org/dev/common_pitfalls.html</w:t>
        </w:r>
      </w:hyperlink>
      <w:r w:rsidR="00D70527">
        <w:rPr>
          <w:rFonts w:eastAsia="Arial" w:cs="Arial"/>
        </w:rPr>
        <w:t xml:space="preserve"> </w:t>
      </w:r>
      <w:r>
        <w:rPr>
          <w:rFonts w:eastAsia="Arial" w:cs="Arial"/>
        </w:rPr>
        <w:t>(Accessed: 6 August 2026).</w:t>
      </w:r>
    </w:p>
    <w:p w14:paraId="5E18A972" w14:textId="3135B94E" w:rsidR="00680932" w:rsidRDefault="00AE213B" w:rsidP="00D70527">
      <w:pPr>
        <w:numPr>
          <w:ilvl w:val="0"/>
          <w:numId w:val="23"/>
        </w:numPr>
        <w:ind w:hanging="720"/>
        <w:jc w:val="left"/>
      </w:pPr>
      <w:r>
        <w:rPr>
          <w:rFonts w:eastAsia="Arial" w:cs="Arial"/>
        </w:rPr>
        <w:t xml:space="preserve">Kaggle (n.d.) Credit Card Fraud Detection. Machine Learning Group, Universite Libre de Bruxelles. Available at: </w:t>
      </w:r>
      <w:hyperlink r:id="rId17" w:history="1">
        <w:r w:rsidR="00D70527" w:rsidRPr="00B165A5">
          <w:rPr>
            <w:rStyle w:val="Hyperlink"/>
          </w:rPr>
          <w:t>https://www.kaggle.com/datasets/mlg-ulb/creditcardfraud</w:t>
        </w:r>
      </w:hyperlink>
      <w:r w:rsidR="00D70527">
        <w:rPr>
          <w:rFonts w:eastAsia="Arial" w:cs="Arial"/>
        </w:rPr>
        <w:t xml:space="preserve"> </w:t>
      </w:r>
      <w:r>
        <w:rPr>
          <w:rFonts w:eastAsia="Arial" w:cs="Arial"/>
        </w:rPr>
        <w:t>(Accessed: 6 August 2026).</w:t>
      </w:r>
    </w:p>
    <w:p w14:paraId="73297059" w14:textId="6903CCA0" w:rsidR="00680932" w:rsidRDefault="00AE213B" w:rsidP="00D70527">
      <w:pPr>
        <w:numPr>
          <w:ilvl w:val="0"/>
          <w:numId w:val="23"/>
        </w:numPr>
        <w:ind w:hanging="720"/>
        <w:jc w:val="left"/>
      </w:pPr>
      <w:r>
        <w:rPr>
          <w:rFonts w:eastAsia="Arial" w:cs="Arial"/>
        </w:rPr>
        <w:t xml:space="preserve">Khalid, A.R., Owoh, N., Uthmani, O., Ashawa, M., Osamor, J. and Adejoh, J. (2024) 'Enhancing credit card fraud detection: An ensemble machine learning approach', Big Data and Cognitive Computing, 8(1), 6. </w:t>
      </w:r>
      <w:hyperlink r:id="rId18" w:history="1">
        <w:r w:rsidR="00D70527" w:rsidRPr="00B165A5">
          <w:rPr>
            <w:rStyle w:val="Hyperlink"/>
          </w:rPr>
          <w:t>https://doi.org/10.3390/bdcc8010006</w:t>
        </w:r>
      </w:hyperlink>
      <w:r>
        <w:rPr>
          <w:rFonts w:eastAsia="Arial" w:cs="Arial"/>
        </w:rPr>
        <w:t>.</w:t>
      </w:r>
      <w:r w:rsidR="00D70527">
        <w:rPr>
          <w:rFonts w:eastAsia="Arial" w:cs="Arial"/>
        </w:rPr>
        <w:t xml:space="preserve"> </w:t>
      </w:r>
    </w:p>
    <w:p w14:paraId="17C802CA" w14:textId="65F71754" w:rsidR="00680932" w:rsidRDefault="00AE213B" w:rsidP="00D70527">
      <w:pPr>
        <w:numPr>
          <w:ilvl w:val="0"/>
          <w:numId w:val="23"/>
        </w:numPr>
        <w:ind w:hanging="720"/>
        <w:jc w:val="left"/>
      </w:pPr>
      <w:r>
        <w:rPr>
          <w:rFonts w:eastAsia="Arial" w:cs="Arial"/>
        </w:rPr>
        <w:t xml:space="preserve">Lundberg, S.M. and Lee, S-I. (2017) 'A unified approach to interpreting model predictions', Advances in Neural Information Processing Systems, 30. Available at: </w:t>
      </w:r>
      <w:hyperlink r:id="rId19" w:history="1">
        <w:r w:rsidR="00D70527" w:rsidRPr="00B165A5">
          <w:rPr>
            <w:rStyle w:val="Hyperlink"/>
          </w:rPr>
          <w:t>https://proceedings.neurips.cc/paper/7062-a-unified-approach-to-interpreting-model-predictions</w:t>
        </w:r>
      </w:hyperlink>
      <w:r w:rsidR="00D70527">
        <w:rPr>
          <w:rFonts w:eastAsia="Arial" w:cs="Arial"/>
        </w:rPr>
        <w:t xml:space="preserve"> </w:t>
      </w:r>
      <w:r>
        <w:rPr>
          <w:rFonts w:eastAsia="Arial" w:cs="Arial"/>
        </w:rPr>
        <w:t>(Accessed: 7 August 2026).</w:t>
      </w:r>
    </w:p>
    <w:p w14:paraId="6F1FCDFB" w14:textId="629A3E30" w:rsidR="00680932" w:rsidRDefault="00AE213B" w:rsidP="00D70527">
      <w:pPr>
        <w:numPr>
          <w:ilvl w:val="0"/>
          <w:numId w:val="23"/>
        </w:numPr>
        <w:ind w:hanging="720"/>
        <w:jc w:val="left"/>
      </w:pPr>
      <w:r>
        <w:rPr>
          <w:rFonts w:eastAsia="Arial" w:cs="Arial"/>
        </w:rPr>
        <w:t xml:space="preserve">Nobel, S.M.N., Sultana, S., Singha, S.P., Chaki, S., Mahi, M.J.N., Jan, T., Barros, A. and Whaiduzzaman, M. (2024) 'Unmasking banking fraud: Unleashing the power of machine learning and explainable AI (XAI) on imbalanced data', Information, 15(6), 298. </w:t>
      </w:r>
      <w:hyperlink r:id="rId20" w:history="1">
        <w:r w:rsidR="00D70527" w:rsidRPr="00B165A5">
          <w:rPr>
            <w:rStyle w:val="Hyperlink"/>
          </w:rPr>
          <w:t>https://doi.org/10.3390/info15060298</w:t>
        </w:r>
      </w:hyperlink>
      <w:r>
        <w:rPr>
          <w:rFonts w:eastAsia="Arial" w:cs="Arial"/>
        </w:rPr>
        <w:t>.</w:t>
      </w:r>
      <w:r w:rsidR="00D70527">
        <w:rPr>
          <w:rFonts w:eastAsia="Arial" w:cs="Arial"/>
        </w:rPr>
        <w:t xml:space="preserve"> </w:t>
      </w:r>
    </w:p>
    <w:p w14:paraId="322E04C7" w14:textId="7AD90052" w:rsidR="00680932" w:rsidRDefault="00AE213B" w:rsidP="00D70527">
      <w:pPr>
        <w:numPr>
          <w:ilvl w:val="0"/>
          <w:numId w:val="23"/>
        </w:numPr>
        <w:ind w:hanging="720"/>
        <w:jc w:val="left"/>
      </w:pPr>
      <w:r>
        <w:rPr>
          <w:rFonts w:eastAsia="Arial" w:cs="Arial"/>
        </w:rPr>
        <w:t xml:space="preserve">Psychoula, I., Gutmann, A., Mainali, P., Lee, S.H., Dunphy, P. and Petitcolas, F. (2021) 'Explainable machine learning for fraud detection', Computer, 54(10), pp. 49-59. </w:t>
      </w:r>
      <w:hyperlink r:id="rId21" w:history="1">
        <w:r w:rsidR="00D70527" w:rsidRPr="00B165A5">
          <w:rPr>
            <w:rStyle w:val="Hyperlink"/>
          </w:rPr>
          <w:t>https://doi.org/10.1109/MC.2021.3081249</w:t>
        </w:r>
      </w:hyperlink>
      <w:r>
        <w:rPr>
          <w:rFonts w:eastAsia="Arial" w:cs="Arial"/>
        </w:rPr>
        <w:t>.</w:t>
      </w:r>
      <w:r w:rsidR="00D70527">
        <w:rPr>
          <w:rFonts w:eastAsia="Arial" w:cs="Arial"/>
        </w:rPr>
        <w:t xml:space="preserve"> </w:t>
      </w:r>
    </w:p>
    <w:p w14:paraId="2A7A2408" w14:textId="5B773F97" w:rsidR="00680932" w:rsidRDefault="00AE213B" w:rsidP="00D70527">
      <w:pPr>
        <w:numPr>
          <w:ilvl w:val="0"/>
          <w:numId w:val="23"/>
        </w:numPr>
        <w:ind w:hanging="720"/>
        <w:jc w:val="left"/>
      </w:pPr>
      <w:r>
        <w:rPr>
          <w:rFonts w:eastAsia="Arial" w:cs="Arial"/>
        </w:rPr>
        <w:lastRenderedPageBreak/>
        <w:t xml:space="preserve">Republic of South Africa (2013) Protection of Personal Information Act 4 of 2013. Pretoria: Government Printer. Available at: </w:t>
      </w:r>
      <w:hyperlink r:id="rId22" w:history="1">
        <w:r w:rsidR="00D70527" w:rsidRPr="00B165A5">
          <w:rPr>
            <w:rStyle w:val="Hyperlink"/>
          </w:rPr>
          <w:t>https://www.justice.gov.za/legislation/acts/2013-004.pdf</w:t>
        </w:r>
      </w:hyperlink>
      <w:r w:rsidR="00D70527">
        <w:rPr>
          <w:rFonts w:eastAsia="Arial" w:cs="Arial"/>
        </w:rPr>
        <w:t xml:space="preserve"> </w:t>
      </w:r>
      <w:r>
        <w:rPr>
          <w:rFonts w:eastAsia="Arial" w:cs="Arial"/>
        </w:rPr>
        <w:t>(Accessed: 6 August 2026).</w:t>
      </w:r>
    </w:p>
    <w:p w14:paraId="2AC5034D" w14:textId="19A2E0CD" w:rsidR="00680932" w:rsidRDefault="00AE213B" w:rsidP="00D70527">
      <w:pPr>
        <w:numPr>
          <w:ilvl w:val="0"/>
          <w:numId w:val="23"/>
        </w:numPr>
        <w:ind w:hanging="720"/>
        <w:jc w:val="left"/>
      </w:pPr>
      <w:r>
        <w:rPr>
          <w:rFonts w:eastAsia="Arial" w:cs="Arial"/>
        </w:rPr>
        <w:t xml:space="preserve">Ribeiro, M.T., Singh, S. and Guestrin, C. (2016) 'Why should I trust you? Explaining the predictions of any classifier', Proceedings of the 22nd ACM SIGKDD International Conference on Knowledge Discovery and Data Mining, pp. 1135-1144. </w:t>
      </w:r>
      <w:hyperlink r:id="rId23" w:history="1">
        <w:r w:rsidR="00D70527" w:rsidRPr="00B165A5">
          <w:rPr>
            <w:rStyle w:val="Hyperlink"/>
          </w:rPr>
          <w:t>https://doi.org/10.1145/2939672.2939778</w:t>
        </w:r>
      </w:hyperlink>
      <w:r>
        <w:rPr>
          <w:rFonts w:eastAsia="Arial" w:cs="Arial"/>
        </w:rPr>
        <w:t>.</w:t>
      </w:r>
      <w:r w:rsidR="00D70527">
        <w:rPr>
          <w:rFonts w:eastAsia="Arial" w:cs="Arial"/>
        </w:rPr>
        <w:t xml:space="preserve"> </w:t>
      </w:r>
    </w:p>
    <w:p w14:paraId="631C63E2" w14:textId="6BF87C80" w:rsidR="00680932" w:rsidRDefault="00AE213B" w:rsidP="00D70527">
      <w:pPr>
        <w:numPr>
          <w:ilvl w:val="0"/>
          <w:numId w:val="23"/>
        </w:numPr>
        <w:ind w:hanging="720"/>
        <w:jc w:val="left"/>
      </w:pPr>
      <w:r>
        <w:rPr>
          <w:rFonts w:eastAsia="Arial" w:cs="Arial"/>
        </w:rPr>
        <w:t xml:space="preserve">Saito, T. and Rehmsmeier, M. (2015) 'The precision-recall plot is more informative than the ROC plot when evaluating binary classifiers on imbalanced datasets', PLOS ONE, 10(3), e0118432. </w:t>
      </w:r>
      <w:hyperlink r:id="rId24" w:history="1">
        <w:r w:rsidR="00D70527" w:rsidRPr="00B165A5">
          <w:rPr>
            <w:rStyle w:val="Hyperlink"/>
          </w:rPr>
          <w:t>https://doi.org/10.1371/journal.pone.0118432</w:t>
        </w:r>
      </w:hyperlink>
      <w:r>
        <w:rPr>
          <w:rFonts w:eastAsia="Arial" w:cs="Arial"/>
        </w:rPr>
        <w:t>.</w:t>
      </w:r>
      <w:r w:rsidR="00D70527">
        <w:rPr>
          <w:rFonts w:eastAsia="Arial" w:cs="Arial"/>
        </w:rPr>
        <w:t xml:space="preserve"> </w:t>
      </w:r>
    </w:p>
    <w:p w14:paraId="5330B6CF" w14:textId="77777777" w:rsidR="00680932" w:rsidRDefault="00AE213B" w:rsidP="00D70527">
      <w:pPr>
        <w:numPr>
          <w:ilvl w:val="0"/>
          <w:numId w:val="23"/>
        </w:numPr>
        <w:ind w:hanging="720"/>
        <w:jc w:val="left"/>
      </w:pPr>
      <w:r>
        <w:rPr>
          <w:rFonts w:eastAsia="Arial" w:cs="Arial"/>
        </w:rPr>
        <w:t>South African Banking Risk Information Centre (SABRIC) (2026) Annual Crime Statistics 2025. Midrand: SABRIC. Available at: https://www.sabric.co.za/resources/ (Accessed: 5 October 2026).</w:t>
      </w:r>
    </w:p>
    <w:p w14:paraId="0EE1F7A6" w14:textId="762A4CFC" w:rsidR="00680932" w:rsidRDefault="00AE213B" w:rsidP="00D70527">
      <w:pPr>
        <w:numPr>
          <w:ilvl w:val="0"/>
          <w:numId w:val="23"/>
        </w:numPr>
        <w:ind w:hanging="720"/>
        <w:jc w:val="left"/>
      </w:pPr>
      <w:r>
        <w:rPr>
          <w:rFonts w:eastAsia="Arial" w:cs="Arial"/>
        </w:rPr>
        <w:t xml:space="preserve">Weber, P., Carl, K.V. and Hinz, O. (2024) 'Applications of explainable artificial intelligence in finance: A systematic review of finance, information systems, and computer science literature', Management Review Quarterly, 74, pp. 867-907. </w:t>
      </w:r>
      <w:hyperlink r:id="rId25" w:history="1">
        <w:r w:rsidR="00D70527" w:rsidRPr="00B165A5">
          <w:rPr>
            <w:rStyle w:val="Hyperlink"/>
          </w:rPr>
          <w:t>https://doi.org/10.1007/s11301-023-00320-0</w:t>
        </w:r>
      </w:hyperlink>
      <w:r>
        <w:rPr>
          <w:rFonts w:eastAsia="Arial" w:cs="Arial"/>
        </w:rPr>
        <w:t>.</w:t>
      </w:r>
      <w:r w:rsidR="00D70527">
        <w:rPr>
          <w:rFonts w:eastAsia="Arial" w:cs="Arial"/>
        </w:rPr>
        <w:t xml:space="preserve"> </w:t>
      </w:r>
    </w:p>
    <w:p w14:paraId="0DE6439F" w14:textId="3A627FFC" w:rsidR="00680932" w:rsidRDefault="00AE213B" w:rsidP="00D70527">
      <w:pPr>
        <w:numPr>
          <w:ilvl w:val="0"/>
          <w:numId w:val="23"/>
        </w:numPr>
        <w:ind w:hanging="720"/>
        <w:jc w:val="left"/>
      </w:pPr>
      <w:r>
        <w:rPr>
          <w:rFonts w:eastAsia="Arial" w:cs="Arial"/>
        </w:rPr>
        <w:t xml:space="preserve">Zafar, U. and Wu, F. (2026) 'Methodological challenges in explainable AI for fraud detection: A systematic literature review', Artificial Intelligence Review, 59, 115. </w:t>
      </w:r>
      <w:hyperlink r:id="rId26" w:history="1">
        <w:r w:rsidR="00D70527" w:rsidRPr="00B165A5">
          <w:rPr>
            <w:rStyle w:val="Hyperlink"/>
          </w:rPr>
          <w:t>https://doi.org/10.1007/s10462-026-11516-7</w:t>
        </w:r>
      </w:hyperlink>
      <w:r>
        <w:rPr>
          <w:rFonts w:eastAsia="Arial" w:cs="Arial"/>
        </w:rPr>
        <w:t>.</w:t>
      </w:r>
      <w:r w:rsidR="00D70527">
        <w:rPr>
          <w:rFonts w:eastAsia="Arial" w:cs="Arial"/>
        </w:rPr>
        <w:t xml:space="preserve"> </w:t>
      </w:r>
    </w:p>
    <w:p w14:paraId="55BCD399" w14:textId="77777777" w:rsidR="00D73286" w:rsidRDefault="003405A5">
      <w:pPr>
        <w:pStyle w:val="Heading1"/>
      </w:pPr>
      <w:bookmarkStart w:id="82" w:name="annex_a"/>
      <w:bookmarkStart w:id="83" w:name="_Toc244188270"/>
      <w:r>
        <w:rPr>
          <w:rFonts w:ascii="Arial" w:eastAsia="Arial" w:hAnsi="Arial" w:cs="Arial"/>
        </w:rPr>
        <w:t>Annexure A Signed Ethics Waiver Letter</w:t>
      </w:r>
      <w:bookmarkEnd w:id="82"/>
      <w:bookmarkEnd w:id="83"/>
    </w:p>
    <w:p w14:paraId="480E6E32" w14:textId="77777777" w:rsidR="00D73286" w:rsidRDefault="003405A5">
      <w:r>
        <w:rPr>
          <w:rFonts w:eastAsia="Arial" w:cs="Arial"/>
        </w:rPr>
        <w:t>Ethics clearance reference EMCSREC/EMGPSD/3/2026, approved in August 2026.</w:t>
      </w:r>
    </w:p>
    <w:p w14:paraId="6CA6574B" w14:textId="77777777" w:rsidR="00D73286" w:rsidRDefault="003405A5">
      <w:pPr>
        <w:jc w:val="center"/>
      </w:pPr>
      <w:r>
        <w:rPr>
          <w:rFonts w:eastAsia="Arial" w:cs="Arial"/>
          <w:noProof/>
        </w:rPr>
        <w:lastRenderedPageBreak/>
        <w:drawing>
          <wp:inline distT="0" distB="0" distL="0" distR="0" wp14:anchorId="7323A572" wp14:editId="398EFD67">
            <wp:extent cx="5715000" cy="8079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ics-1.png"/>
                    <pic:cNvPicPr/>
                  </pic:nvPicPr>
                  <pic:blipFill>
                    <a:blip r:embed="rId27"/>
                    <a:stretch>
                      <a:fillRect/>
                    </a:stretch>
                  </pic:blipFill>
                  <pic:spPr>
                    <a:xfrm>
                      <a:off x="0" y="0"/>
                      <a:ext cx="5715000" cy="8079298"/>
                    </a:xfrm>
                    <a:prstGeom prst="rect">
                      <a:avLst/>
                    </a:prstGeom>
                  </pic:spPr>
                </pic:pic>
              </a:graphicData>
            </a:graphic>
          </wp:inline>
        </w:drawing>
      </w:r>
    </w:p>
    <w:p w14:paraId="446FBE00" w14:textId="77777777" w:rsidR="00D73286" w:rsidRDefault="003405A5">
      <w:r>
        <w:rPr>
          <w:rFonts w:eastAsia="Arial" w:cs="Arial"/>
        </w:rPr>
        <w:br w:type="page"/>
      </w:r>
    </w:p>
    <w:p w14:paraId="0DD8D341" w14:textId="77777777" w:rsidR="00D73286" w:rsidRDefault="003405A5">
      <w:pPr>
        <w:pStyle w:val="Heading1"/>
      </w:pPr>
      <w:bookmarkStart w:id="84" w:name="annex_b"/>
      <w:bookmarkStart w:id="85" w:name="_Toc244188271"/>
      <w:r>
        <w:rPr>
          <w:rFonts w:ascii="Arial" w:eastAsia="Arial" w:hAnsi="Arial" w:cs="Arial"/>
        </w:rPr>
        <w:lastRenderedPageBreak/>
        <w:t>Annexure B AI Use Disclosure and Prompt Activity Log</w:t>
      </w:r>
      <w:bookmarkEnd w:id="84"/>
      <w:bookmarkEnd w:id="85"/>
    </w:p>
    <w:p w14:paraId="522D2281" w14:textId="77777777" w:rsidR="00D73286" w:rsidRDefault="003405A5">
      <w:r>
        <w:rPr>
          <w:rFonts w:eastAsia="Arial" w:cs="Arial"/>
        </w:rPr>
        <w:t>This annexure documents the principal uses of generative AI during the project. The entries are representative of the project workflow and are intended to support transparent academic-integrity review. Full conversation records are retained by the student and can be provided on request.</w:t>
      </w:r>
    </w:p>
    <w:tbl>
      <w:tblPr>
        <w:tblStyle w:val="TableGrid"/>
        <w:tblW w:w="0" w:type="auto"/>
        <w:tblLayout w:type="fixed"/>
        <w:tblLook w:val="04A0" w:firstRow="1" w:lastRow="0" w:firstColumn="1" w:lastColumn="0" w:noHBand="0" w:noVBand="1"/>
      </w:tblPr>
      <w:tblGrid>
        <w:gridCol w:w="1440"/>
        <w:gridCol w:w="2736"/>
        <w:gridCol w:w="2736"/>
        <w:gridCol w:w="2736"/>
      </w:tblGrid>
      <w:tr w:rsidR="00D73286" w14:paraId="14F75A2B" w14:textId="77777777">
        <w:trPr>
          <w:cantSplit/>
          <w:tblHeader/>
        </w:trPr>
        <w:tc>
          <w:tcPr>
            <w:tcW w:w="1440" w:type="dxa"/>
            <w:shd w:val="clear" w:color="auto" w:fill="17365D"/>
            <w:tcMar>
              <w:top w:w="100" w:type="dxa"/>
              <w:left w:w="110" w:type="dxa"/>
              <w:bottom w:w="100" w:type="dxa"/>
              <w:right w:w="110" w:type="dxa"/>
            </w:tcMar>
            <w:vAlign w:val="center"/>
          </w:tcPr>
          <w:p w14:paraId="28918A0E" w14:textId="77777777" w:rsidR="00D73286" w:rsidRDefault="003405A5">
            <w:pPr>
              <w:spacing w:after="40" w:line="240" w:lineRule="auto"/>
              <w:jc w:val="center"/>
            </w:pPr>
            <w:r>
              <w:rPr>
                <w:rFonts w:eastAsia="Arial" w:cs="Arial"/>
                <w:b/>
              </w:rPr>
              <w:t>Project stage</w:t>
            </w:r>
          </w:p>
        </w:tc>
        <w:tc>
          <w:tcPr>
            <w:tcW w:w="2736" w:type="dxa"/>
            <w:shd w:val="clear" w:color="auto" w:fill="17365D"/>
            <w:tcMar>
              <w:top w:w="100" w:type="dxa"/>
              <w:left w:w="110" w:type="dxa"/>
              <w:bottom w:w="100" w:type="dxa"/>
              <w:right w:w="110" w:type="dxa"/>
            </w:tcMar>
            <w:vAlign w:val="center"/>
          </w:tcPr>
          <w:p w14:paraId="7269F0BB" w14:textId="77777777" w:rsidR="00D73286" w:rsidRDefault="003405A5">
            <w:pPr>
              <w:spacing w:after="40" w:line="240" w:lineRule="auto"/>
              <w:jc w:val="center"/>
            </w:pPr>
            <w:r>
              <w:rPr>
                <w:rFonts w:eastAsia="Arial" w:cs="Arial"/>
                <w:b/>
              </w:rPr>
              <w:t>Representative prompt or request</w:t>
            </w:r>
          </w:p>
        </w:tc>
        <w:tc>
          <w:tcPr>
            <w:tcW w:w="2736" w:type="dxa"/>
            <w:shd w:val="clear" w:color="auto" w:fill="17365D"/>
            <w:tcMar>
              <w:top w:w="100" w:type="dxa"/>
              <w:left w:w="110" w:type="dxa"/>
              <w:bottom w:w="100" w:type="dxa"/>
              <w:right w:w="110" w:type="dxa"/>
            </w:tcMar>
            <w:vAlign w:val="center"/>
          </w:tcPr>
          <w:p w14:paraId="6545383B" w14:textId="77777777" w:rsidR="00D73286" w:rsidRDefault="003405A5">
            <w:pPr>
              <w:spacing w:after="40" w:line="240" w:lineRule="auto"/>
              <w:jc w:val="center"/>
            </w:pPr>
            <w:r>
              <w:rPr>
                <w:rFonts w:eastAsia="Arial" w:cs="Arial"/>
                <w:b/>
              </w:rPr>
              <w:t>AI-assisted activity</w:t>
            </w:r>
          </w:p>
        </w:tc>
        <w:tc>
          <w:tcPr>
            <w:tcW w:w="2736" w:type="dxa"/>
            <w:shd w:val="clear" w:color="auto" w:fill="17365D"/>
            <w:tcMar>
              <w:top w:w="100" w:type="dxa"/>
              <w:left w:w="110" w:type="dxa"/>
              <w:bottom w:w="100" w:type="dxa"/>
              <w:right w:w="110" w:type="dxa"/>
            </w:tcMar>
            <w:vAlign w:val="center"/>
          </w:tcPr>
          <w:p w14:paraId="2B8B2AD8" w14:textId="77777777" w:rsidR="00D73286" w:rsidRDefault="003405A5">
            <w:pPr>
              <w:spacing w:after="40" w:line="240" w:lineRule="auto"/>
              <w:jc w:val="center"/>
            </w:pPr>
            <w:r>
              <w:rPr>
                <w:rFonts w:eastAsia="Arial" w:cs="Arial"/>
                <w:b/>
              </w:rPr>
              <w:t>Student verification and responsibility</w:t>
            </w:r>
          </w:p>
        </w:tc>
      </w:tr>
      <w:tr w:rsidR="00D73286" w14:paraId="619E20C7" w14:textId="77777777">
        <w:trPr>
          <w:cantSplit/>
        </w:trPr>
        <w:tc>
          <w:tcPr>
            <w:tcW w:w="1440" w:type="dxa"/>
            <w:shd w:val="clear" w:color="auto" w:fill="FFFFFF"/>
            <w:tcMar>
              <w:top w:w="100" w:type="dxa"/>
              <w:left w:w="110" w:type="dxa"/>
              <w:bottom w:w="100" w:type="dxa"/>
              <w:right w:w="110" w:type="dxa"/>
            </w:tcMar>
            <w:vAlign w:val="center"/>
          </w:tcPr>
          <w:p w14:paraId="704AD1D9" w14:textId="77777777" w:rsidR="00D73286" w:rsidRDefault="003405A5">
            <w:pPr>
              <w:spacing w:after="40" w:line="240" w:lineRule="auto"/>
              <w:jc w:val="left"/>
            </w:pPr>
            <w:r>
              <w:rPr>
                <w:rFonts w:eastAsia="Arial" w:cs="Arial"/>
              </w:rPr>
              <w:t>Proposal review</w:t>
            </w:r>
          </w:p>
        </w:tc>
        <w:tc>
          <w:tcPr>
            <w:tcW w:w="2736" w:type="dxa"/>
            <w:shd w:val="clear" w:color="auto" w:fill="FFFFFF"/>
            <w:tcMar>
              <w:top w:w="100" w:type="dxa"/>
              <w:left w:w="110" w:type="dxa"/>
              <w:bottom w:w="100" w:type="dxa"/>
              <w:right w:w="110" w:type="dxa"/>
            </w:tcMar>
            <w:vAlign w:val="center"/>
          </w:tcPr>
          <w:p w14:paraId="016174D0" w14:textId="77777777" w:rsidR="00D73286" w:rsidRDefault="003405A5">
            <w:pPr>
              <w:spacing w:after="40" w:line="240" w:lineRule="auto"/>
              <w:jc w:val="left"/>
            </w:pPr>
            <w:r>
              <w:rPr>
                <w:rFonts w:eastAsia="Arial" w:cs="Arial"/>
              </w:rPr>
              <w:t>Read the Research Proposal materials and feedback so that the project work reflects the approved study.</w:t>
            </w:r>
          </w:p>
        </w:tc>
        <w:tc>
          <w:tcPr>
            <w:tcW w:w="2736" w:type="dxa"/>
            <w:shd w:val="clear" w:color="auto" w:fill="FFFFFF"/>
            <w:tcMar>
              <w:top w:w="100" w:type="dxa"/>
              <w:left w:w="110" w:type="dxa"/>
              <w:bottom w:w="100" w:type="dxa"/>
              <w:right w:w="110" w:type="dxa"/>
            </w:tcMar>
            <w:vAlign w:val="center"/>
          </w:tcPr>
          <w:p w14:paraId="12CAF029" w14:textId="77777777" w:rsidR="00D73286" w:rsidRDefault="003405A5">
            <w:pPr>
              <w:spacing w:after="40" w:line="240" w:lineRule="auto"/>
              <w:jc w:val="left"/>
            </w:pPr>
            <w:r>
              <w:rPr>
                <w:rFonts w:eastAsia="Arial" w:cs="Arial"/>
              </w:rPr>
              <w:t>Summarised prior feedback and identified revisions required for Chapters 1-3.</w:t>
            </w:r>
          </w:p>
        </w:tc>
        <w:tc>
          <w:tcPr>
            <w:tcW w:w="2736" w:type="dxa"/>
            <w:shd w:val="clear" w:color="auto" w:fill="FFFFFF"/>
            <w:tcMar>
              <w:top w:w="100" w:type="dxa"/>
              <w:left w:w="110" w:type="dxa"/>
              <w:bottom w:w="100" w:type="dxa"/>
              <w:right w:w="110" w:type="dxa"/>
            </w:tcMar>
            <w:vAlign w:val="center"/>
          </w:tcPr>
          <w:p w14:paraId="0E6C08E6" w14:textId="77777777" w:rsidR="00D73286" w:rsidRDefault="003405A5">
            <w:pPr>
              <w:spacing w:after="40" w:line="240" w:lineRule="auto"/>
              <w:jc w:val="left"/>
            </w:pPr>
            <w:r>
              <w:rPr>
                <w:rFonts w:eastAsia="Arial" w:cs="Arial"/>
              </w:rPr>
              <w:t>Compared the summary with the submitted proposal and supervisor feedback.</w:t>
            </w:r>
          </w:p>
        </w:tc>
      </w:tr>
      <w:tr w:rsidR="00D73286" w14:paraId="6DC440A4" w14:textId="77777777">
        <w:trPr>
          <w:cantSplit/>
        </w:trPr>
        <w:tc>
          <w:tcPr>
            <w:tcW w:w="1440" w:type="dxa"/>
            <w:shd w:val="clear" w:color="auto" w:fill="F2F6FA"/>
            <w:tcMar>
              <w:top w:w="100" w:type="dxa"/>
              <w:left w:w="110" w:type="dxa"/>
              <w:bottom w:w="100" w:type="dxa"/>
              <w:right w:w="110" w:type="dxa"/>
            </w:tcMar>
            <w:vAlign w:val="center"/>
          </w:tcPr>
          <w:p w14:paraId="0A5C63DA" w14:textId="77777777" w:rsidR="00D73286" w:rsidRDefault="003405A5">
            <w:pPr>
              <w:spacing w:after="40" w:line="240" w:lineRule="auto"/>
              <w:jc w:val="left"/>
            </w:pPr>
            <w:r>
              <w:rPr>
                <w:rFonts w:eastAsia="Arial" w:cs="Arial"/>
              </w:rPr>
              <w:t>ICE Task 1</w:t>
            </w:r>
          </w:p>
        </w:tc>
        <w:tc>
          <w:tcPr>
            <w:tcW w:w="2736" w:type="dxa"/>
            <w:shd w:val="clear" w:color="auto" w:fill="F2F6FA"/>
            <w:tcMar>
              <w:top w:w="100" w:type="dxa"/>
              <w:left w:w="110" w:type="dxa"/>
              <w:bottom w:w="100" w:type="dxa"/>
              <w:right w:w="110" w:type="dxa"/>
            </w:tcMar>
            <w:vAlign w:val="center"/>
          </w:tcPr>
          <w:p w14:paraId="156F4D0F" w14:textId="77777777" w:rsidR="00D73286" w:rsidRDefault="003405A5">
            <w:pPr>
              <w:spacing w:after="40" w:line="240" w:lineRule="auto"/>
              <w:jc w:val="left"/>
            </w:pPr>
            <w:r>
              <w:rPr>
                <w:rFonts w:eastAsia="Arial" w:cs="Arial"/>
              </w:rPr>
              <w:t>Prepare revised Chapters 1-3 and a feedback action plan.</w:t>
            </w:r>
          </w:p>
        </w:tc>
        <w:tc>
          <w:tcPr>
            <w:tcW w:w="2736" w:type="dxa"/>
            <w:shd w:val="clear" w:color="auto" w:fill="F2F6FA"/>
            <w:tcMar>
              <w:top w:w="100" w:type="dxa"/>
              <w:left w:w="110" w:type="dxa"/>
              <w:bottom w:w="100" w:type="dxa"/>
              <w:right w:w="110" w:type="dxa"/>
            </w:tcMar>
            <w:vAlign w:val="center"/>
          </w:tcPr>
          <w:p w14:paraId="69EBE807" w14:textId="77777777" w:rsidR="00D73286" w:rsidRDefault="003405A5">
            <w:pPr>
              <w:spacing w:after="40" w:line="240" w:lineRule="auto"/>
              <w:jc w:val="left"/>
            </w:pPr>
            <w:r>
              <w:rPr>
                <w:rFonts w:eastAsia="Arial" w:cs="Arial"/>
              </w:rPr>
              <w:t>Assisted with structure, language editing and alignment of the questions, objectives and methodology.</w:t>
            </w:r>
          </w:p>
        </w:tc>
        <w:tc>
          <w:tcPr>
            <w:tcW w:w="2736" w:type="dxa"/>
            <w:shd w:val="clear" w:color="auto" w:fill="F2F6FA"/>
            <w:tcMar>
              <w:top w:w="100" w:type="dxa"/>
              <w:left w:w="110" w:type="dxa"/>
              <w:bottom w:w="100" w:type="dxa"/>
              <w:right w:w="110" w:type="dxa"/>
            </w:tcMar>
            <w:vAlign w:val="center"/>
          </w:tcPr>
          <w:p w14:paraId="1A313B7F" w14:textId="77777777" w:rsidR="00D73286" w:rsidRDefault="003405A5">
            <w:pPr>
              <w:spacing w:after="40" w:line="240" w:lineRule="auto"/>
              <w:jc w:val="left"/>
            </w:pPr>
            <w:r>
              <w:rPr>
                <w:rFonts w:eastAsia="Arial" w:cs="Arial"/>
              </w:rPr>
              <w:t>Reviewed the revisions before sending them to the supervisor.</w:t>
            </w:r>
          </w:p>
        </w:tc>
      </w:tr>
      <w:tr w:rsidR="00D73286" w14:paraId="04698ADA" w14:textId="77777777">
        <w:trPr>
          <w:cantSplit/>
        </w:trPr>
        <w:tc>
          <w:tcPr>
            <w:tcW w:w="1440" w:type="dxa"/>
            <w:shd w:val="clear" w:color="auto" w:fill="FFFFFF"/>
            <w:tcMar>
              <w:top w:w="100" w:type="dxa"/>
              <w:left w:w="110" w:type="dxa"/>
              <w:bottom w:w="100" w:type="dxa"/>
              <w:right w:w="110" w:type="dxa"/>
            </w:tcMar>
            <w:vAlign w:val="center"/>
          </w:tcPr>
          <w:p w14:paraId="1CF0B4B0" w14:textId="77777777" w:rsidR="00D73286" w:rsidRDefault="003405A5">
            <w:pPr>
              <w:spacing w:after="40" w:line="240" w:lineRule="auto"/>
              <w:jc w:val="left"/>
            </w:pPr>
            <w:r>
              <w:rPr>
                <w:rFonts w:eastAsia="Arial" w:cs="Arial"/>
              </w:rPr>
              <w:t>ICE Task 2</w:t>
            </w:r>
          </w:p>
        </w:tc>
        <w:tc>
          <w:tcPr>
            <w:tcW w:w="2736" w:type="dxa"/>
            <w:shd w:val="clear" w:color="auto" w:fill="FFFFFF"/>
            <w:tcMar>
              <w:top w:w="100" w:type="dxa"/>
              <w:left w:w="110" w:type="dxa"/>
              <w:bottom w:w="100" w:type="dxa"/>
              <w:right w:w="110" w:type="dxa"/>
            </w:tcMar>
            <w:vAlign w:val="center"/>
          </w:tcPr>
          <w:p w14:paraId="595086FF" w14:textId="77777777" w:rsidR="00D73286" w:rsidRDefault="003405A5">
            <w:pPr>
              <w:spacing w:after="40" w:line="240" w:lineRule="auto"/>
              <w:jc w:val="left"/>
            </w:pPr>
            <w:r>
              <w:rPr>
                <w:rFonts w:eastAsia="Arial" w:cs="Arial"/>
              </w:rPr>
              <w:t>Proceed with the data-analysis process for the approved study.</w:t>
            </w:r>
          </w:p>
        </w:tc>
        <w:tc>
          <w:tcPr>
            <w:tcW w:w="2736" w:type="dxa"/>
            <w:shd w:val="clear" w:color="auto" w:fill="FFFFFF"/>
            <w:tcMar>
              <w:top w:w="100" w:type="dxa"/>
              <w:left w:w="110" w:type="dxa"/>
              <w:bottom w:w="100" w:type="dxa"/>
              <w:right w:w="110" w:type="dxa"/>
            </w:tcMar>
            <w:vAlign w:val="center"/>
          </w:tcPr>
          <w:p w14:paraId="0157D449" w14:textId="77777777" w:rsidR="00D73286" w:rsidRDefault="003405A5">
            <w:pPr>
              <w:spacing w:after="40" w:line="240" w:lineRule="auto"/>
              <w:jc w:val="left"/>
            </w:pPr>
            <w:r>
              <w:rPr>
                <w:rFonts w:eastAsia="Arial" w:cs="Arial"/>
              </w:rPr>
              <w:t>Supported Python workflow design, leakage-safe preprocessing, model comparison and presentation of metrics.</w:t>
            </w:r>
          </w:p>
        </w:tc>
        <w:tc>
          <w:tcPr>
            <w:tcW w:w="2736" w:type="dxa"/>
            <w:shd w:val="clear" w:color="auto" w:fill="FFFFFF"/>
            <w:tcMar>
              <w:top w:w="100" w:type="dxa"/>
              <w:left w:w="110" w:type="dxa"/>
              <w:bottom w:w="100" w:type="dxa"/>
              <w:right w:w="110" w:type="dxa"/>
            </w:tcMar>
            <w:vAlign w:val="center"/>
          </w:tcPr>
          <w:p w14:paraId="21779A5C" w14:textId="77777777" w:rsidR="00D73286" w:rsidRDefault="003405A5">
            <w:pPr>
              <w:spacing w:after="40" w:line="240" w:lineRule="auto"/>
              <w:jc w:val="left"/>
            </w:pPr>
            <w:r>
              <w:rPr>
                <w:rFonts w:eastAsia="Arial" w:cs="Arial"/>
              </w:rPr>
              <w:t>Ran and checked the scripts, result tables and generated figures.</w:t>
            </w:r>
          </w:p>
        </w:tc>
      </w:tr>
      <w:tr w:rsidR="00D73286" w14:paraId="6609F23B" w14:textId="77777777">
        <w:trPr>
          <w:cantSplit/>
        </w:trPr>
        <w:tc>
          <w:tcPr>
            <w:tcW w:w="1440" w:type="dxa"/>
            <w:shd w:val="clear" w:color="auto" w:fill="F2F6FA"/>
            <w:tcMar>
              <w:top w:w="100" w:type="dxa"/>
              <w:left w:w="110" w:type="dxa"/>
              <w:bottom w:w="100" w:type="dxa"/>
              <w:right w:w="110" w:type="dxa"/>
            </w:tcMar>
            <w:vAlign w:val="center"/>
          </w:tcPr>
          <w:p w14:paraId="60007A7D" w14:textId="77777777" w:rsidR="00D73286" w:rsidRDefault="003405A5">
            <w:pPr>
              <w:spacing w:after="40" w:line="240" w:lineRule="auto"/>
              <w:jc w:val="left"/>
            </w:pPr>
            <w:r>
              <w:rPr>
                <w:rFonts w:eastAsia="Arial" w:cs="Arial"/>
              </w:rPr>
              <w:t>ICE Task 3</w:t>
            </w:r>
          </w:p>
        </w:tc>
        <w:tc>
          <w:tcPr>
            <w:tcW w:w="2736" w:type="dxa"/>
            <w:shd w:val="clear" w:color="auto" w:fill="F2F6FA"/>
            <w:tcMar>
              <w:top w:w="100" w:type="dxa"/>
              <w:left w:w="110" w:type="dxa"/>
              <w:bottom w:w="100" w:type="dxa"/>
              <w:right w:w="110" w:type="dxa"/>
            </w:tcMar>
            <w:vAlign w:val="center"/>
          </w:tcPr>
          <w:p w14:paraId="0D67F2D4" w14:textId="77777777" w:rsidR="00D73286" w:rsidRDefault="003405A5">
            <w:pPr>
              <w:spacing w:after="40" w:line="240" w:lineRule="auto"/>
              <w:jc w:val="left"/>
            </w:pPr>
            <w:r>
              <w:rPr>
                <w:rFonts w:eastAsia="Arial" w:cs="Arial"/>
              </w:rPr>
              <w:t>Interpret the data-analysis results and align the discussion with the research questions.</w:t>
            </w:r>
          </w:p>
        </w:tc>
        <w:tc>
          <w:tcPr>
            <w:tcW w:w="2736" w:type="dxa"/>
            <w:shd w:val="clear" w:color="auto" w:fill="F2F6FA"/>
            <w:tcMar>
              <w:top w:w="100" w:type="dxa"/>
              <w:left w:w="110" w:type="dxa"/>
              <w:bottom w:w="100" w:type="dxa"/>
              <w:right w:w="110" w:type="dxa"/>
            </w:tcMar>
            <w:vAlign w:val="center"/>
          </w:tcPr>
          <w:p w14:paraId="67DB6FE7" w14:textId="77777777" w:rsidR="00D73286" w:rsidRDefault="003405A5">
            <w:pPr>
              <w:spacing w:after="40" w:line="240" w:lineRule="auto"/>
              <w:jc w:val="left"/>
            </w:pPr>
            <w:r>
              <w:rPr>
                <w:rFonts w:eastAsia="Arial" w:cs="Arial"/>
              </w:rPr>
              <w:t>Assisted with organising the interpretation around model performance, SHAP, LIME and South African relevance.</w:t>
            </w:r>
          </w:p>
        </w:tc>
        <w:tc>
          <w:tcPr>
            <w:tcW w:w="2736" w:type="dxa"/>
            <w:shd w:val="clear" w:color="auto" w:fill="F2F6FA"/>
            <w:tcMar>
              <w:top w:w="100" w:type="dxa"/>
              <w:left w:w="110" w:type="dxa"/>
              <w:bottom w:w="100" w:type="dxa"/>
              <w:right w:w="110" w:type="dxa"/>
            </w:tcMar>
            <w:vAlign w:val="center"/>
          </w:tcPr>
          <w:p w14:paraId="6860D64B" w14:textId="77777777" w:rsidR="00D73286" w:rsidRDefault="003405A5">
            <w:pPr>
              <w:spacing w:after="40" w:line="240" w:lineRule="auto"/>
              <w:jc w:val="left"/>
            </w:pPr>
            <w:r>
              <w:rPr>
                <w:rFonts w:eastAsia="Arial" w:cs="Arial"/>
              </w:rPr>
              <w:t>Checked interpretations against the recorded model outputs and dataset limitations.</w:t>
            </w:r>
          </w:p>
        </w:tc>
      </w:tr>
      <w:tr w:rsidR="00D73286" w14:paraId="7B4A0CF9" w14:textId="77777777">
        <w:trPr>
          <w:cantSplit/>
        </w:trPr>
        <w:tc>
          <w:tcPr>
            <w:tcW w:w="1440" w:type="dxa"/>
            <w:shd w:val="clear" w:color="auto" w:fill="FFFFFF"/>
            <w:tcMar>
              <w:top w:w="100" w:type="dxa"/>
              <w:left w:w="110" w:type="dxa"/>
              <w:bottom w:w="100" w:type="dxa"/>
              <w:right w:w="110" w:type="dxa"/>
            </w:tcMar>
            <w:vAlign w:val="center"/>
          </w:tcPr>
          <w:p w14:paraId="269EAC5C" w14:textId="77777777" w:rsidR="00D73286" w:rsidRDefault="003405A5">
            <w:pPr>
              <w:spacing w:after="40" w:line="240" w:lineRule="auto"/>
              <w:jc w:val="left"/>
            </w:pPr>
            <w:r>
              <w:rPr>
                <w:rFonts w:eastAsia="Arial" w:cs="Arial"/>
              </w:rPr>
              <w:t>ICE Task 4</w:t>
            </w:r>
          </w:p>
        </w:tc>
        <w:tc>
          <w:tcPr>
            <w:tcW w:w="2736" w:type="dxa"/>
            <w:shd w:val="clear" w:color="auto" w:fill="FFFFFF"/>
            <w:tcMar>
              <w:top w:w="100" w:type="dxa"/>
              <w:left w:w="110" w:type="dxa"/>
              <w:bottom w:w="100" w:type="dxa"/>
              <w:right w:w="110" w:type="dxa"/>
            </w:tcMar>
            <w:vAlign w:val="center"/>
          </w:tcPr>
          <w:p w14:paraId="3047009E" w14:textId="77777777" w:rsidR="00D73286" w:rsidRDefault="003405A5">
            <w:pPr>
              <w:spacing w:after="40" w:line="240" w:lineRule="auto"/>
              <w:jc w:val="left"/>
            </w:pPr>
            <w:r>
              <w:rPr>
                <w:rFonts w:eastAsia="Arial" w:cs="Arial"/>
              </w:rPr>
              <w:t>Integrate the proposal and Tasks 1-3 into a complete draft research report.</w:t>
            </w:r>
          </w:p>
        </w:tc>
        <w:tc>
          <w:tcPr>
            <w:tcW w:w="2736" w:type="dxa"/>
            <w:shd w:val="clear" w:color="auto" w:fill="FFFFFF"/>
            <w:tcMar>
              <w:top w:w="100" w:type="dxa"/>
              <w:left w:w="110" w:type="dxa"/>
              <w:bottom w:w="100" w:type="dxa"/>
              <w:right w:w="110" w:type="dxa"/>
            </w:tcMar>
            <w:vAlign w:val="center"/>
          </w:tcPr>
          <w:p w14:paraId="2EEF73E8" w14:textId="77777777" w:rsidR="00D73286" w:rsidRDefault="003405A5">
            <w:pPr>
              <w:spacing w:after="40" w:line="240" w:lineRule="auto"/>
              <w:jc w:val="left"/>
            </w:pPr>
            <w:r>
              <w:rPr>
                <w:rFonts w:eastAsia="Arial" w:cs="Arial"/>
              </w:rPr>
              <w:t>Supported document integration, consistency checks, formatting and supervisor-feedback revisions.</w:t>
            </w:r>
          </w:p>
        </w:tc>
        <w:tc>
          <w:tcPr>
            <w:tcW w:w="2736" w:type="dxa"/>
            <w:shd w:val="clear" w:color="auto" w:fill="FFFFFF"/>
            <w:tcMar>
              <w:top w:w="100" w:type="dxa"/>
              <w:left w:w="110" w:type="dxa"/>
              <w:bottom w:w="100" w:type="dxa"/>
              <w:right w:w="110" w:type="dxa"/>
            </w:tcMar>
            <w:vAlign w:val="center"/>
          </w:tcPr>
          <w:p w14:paraId="333E6233" w14:textId="77777777" w:rsidR="00D73286" w:rsidRDefault="003405A5">
            <w:pPr>
              <w:spacing w:after="40" w:line="240" w:lineRule="auto"/>
              <w:jc w:val="left"/>
            </w:pPr>
            <w:r>
              <w:rPr>
                <w:rFonts w:eastAsia="Arial" w:cs="Arial"/>
              </w:rPr>
              <w:t>Reviewed the complete report and submitted it to the supervisor for comment.</w:t>
            </w:r>
          </w:p>
        </w:tc>
      </w:tr>
      <w:tr w:rsidR="00D73286" w14:paraId="629E72A7" w14:textId="77777777">
        <w:trPr>
          <w:cantSplit/>
        </w:trPr>
        <w:tc>
          <w:tcPr>
            <w:tcW w:w="1440" w:type="dxa"/>
            <w:shd w:val="clear" w:color="auto" w:fill="F2F6FA"/>
            <w:tcMar>
              <w:top w:w="100" w:type="dxa"/>
              <w:left w:w="110" w:type="dxa"/>
              <w:bottom w:w="100" w:type="dxa"/>
              <w:right w:w="110" w:type="dxa"/>
            </w:tcMar>
            <w:vAlign w:val="center"/>
          </w:tcPr>
          <w:p w14:paraId="62E0B37A" w14:textId="77777777" w:rsidR="00D73286" w:rsidRDefault="003405A5">
            <w:pPr>
              <w:spacing w:after="40" w:line="240" w:lineRule="auto"/>
              <w:jc w:val="left"/>
            </w:pPr>
            <w:r>
              <w:rPr>
                <w:rFonts w:eastAsia="Arial" w:cs="Arial"/>
              </w:rPr>
              <w:t>Current evidence</w:t>
            </w:r>
          </w:p>
        </w:tc>
        <w:tc>
          <w:tcPr>
            <w:tcW w:w="2736" w:type="dxa"/>
            <w:shd w:val="clear" w:color="auto" w:fill="F2F6FA"/>
            <w:tcMar>
              <w:top w:w="100" w:type="dxa"/>
              <w:left w:w="110" w:type="dxa"/>
              <w:bottom w:w="100" w:type="dxa"/>
              <w:right w:w="110" w:type="dxa"/>
            </w:tcMar>
            <w:vAlign w:val="center"/>
          </w:tcPr>
          <w:p w14:paraId="61523572" w14:textId="77777777" w:rsidR="00D73286" w:rsidRDefault="003405A5">
            <w:pPr>
              <w:spacing w:after="40" w:line="240" w:lineRule="auto"/>
              <w:jc w:val="left"/>
            </w:pPr>
            <w:r>
              <w:rPr>
                <w:rFonts w:eastAsia="Arial" w:cs="Arial"/>
              </w:rPr>
              <w:t>Update the report using the SABRIC Annual Crime Statistics Report 2025 and add a comparative narrative.</w:t>
            </w:r>
          </w:p>
        </w:tc>
        <w:tc>
          <w:tcPr>
            <w:tcW w:w="2736" w:type="dxa"/>
            <w:shd w:val="clear" w:color="auto" w:fill="F2F6FA"/>
            <w:tcMar>
              <w:top w:w="100" w:type="dxa"/>
              <w:left w:w="110" w:type="dxa"/>
              <w:bottom w:w="100" w:type="dxa"/>
              <w:right w:w="110" w:type="dxa"/>
            </w:tcMar>
            <w:vAlign w:val="center"/>
          </w:tcPr>
          <w:p w14:paraId="29D9465C" w14:textId="77777777" w:rsidR="00D73286" w:rsidRDefault="003405A5">
            <w:pPr>
              <w:spacing w:after="40" w:line="240" w:lineRule="auto"/>
              <w:jc w:val="left"/>
            </w:pPr>
            <w:r>
              <w:rPr>
                <w:rFonts w:eastAsia="Arial" w:cs="Arial"/>
              </w:rPr>
              <w:t>Extracted the reported 2024-2025 statistics and assisted with bounded contextual interpretation.</w:t>
            </w:r>
          </w:p>
        </w:tc>
        <w:tc>
          <w:tcPr>
            <w:tcW w:w="2736" w:type="dxa"/>
            <w:shd w:val="clear" w:color="auto" w:fill="F2F6FA"/>
            <w:tcMar>
              <w:top w:w="100" w:type="dxa"/>
              <w:left w:w="110" w:type="dxa"/>
              <w:bottom w:w="100" w:type="dxa"/>
              <w:right w:w="110" w:type="dxa"/>
            </w:tcMar>
            <w:vAlign w:val="center"/>
          </w:tcPr>
          <w:p w14:paraId="0F6CF923" w14:textId="77777777" w:rsidR="00D73286" w:rsidRDefault="003405A5">
            <w:pPr>
              <w:spacing w:after="40" w:line="240" w:lineRule="auto"/>
              <w:jc w:val="left"/>
            </w:pPr>
            <w:r>
              <w:rPr>
                <w:rFonts w:eastAsia="Arial" w:cs="Arial"/>
              </w:rPr>
              <w:t>Checked the figures against the official SABRIC report and retained the source in the reference list.</w:t>
            </w:r>
          </w:p>
        </w:tc>
      </w:tr>
      <w:tr w:rsidR="00D73286" w14:paraId="33C249D6" w14:textId="77777777">
        <w:trPr>
          <w:cantSplit/>
        </w:trPr>
        <w:tc>
          <w:tcPr>
            <w:tcW w:w="1440" w:type="dxa"/>
            <w:shd w:val="clear" w:color="auto" w:fill="FFFFFF"/>
            <w:tcMar>
              <w:top w:w="100" w:type="dxa"/>
              <w:left w:w="110" w:type="dxa"/>
              <w:bottom w:w="100" w:type="dxa"/>
              <w:right w:w="110" w:type="dxa"/>
            </w:tcMar>
            <w:vAlign w:val="center"/>
          </w:tcPr>
          <w:p w14:paraId="73A160AF" w14:textId="77777777" w:rsidR="00D73286" w:rsidRDefault="003405A5">
            <w:pPr>
              <w:spacing w:after="40" w:line="240" w:lineRule="auto"/>
              <w:jc w:val="left"/>
            </w:pPr>
            <w:r>
              <w:rPr>
                <w:rFonts w:eastAsia="Arial" w:cs="Arial"/>
              </w:rPr>
              <w:lastRenderedPageBreak/>
              <w:t>Supervisor comments</w:t>
            </w:r>
          </w:p>
        </w:tc>
        <w:tc>
          <w:tcPr>
            <w:tcW w:w="2736" w:type="dxa"/>
            <w:shd w:val="clear" w:color="auto" w:fill="FFFFFF"/>
            <w:tcMar>
              <w:top w:w="100" w:type="dxa"/>
              <w:left w:w="110" w:type="dxa"/>
              <w:bottom w:w="100" w:type="dxa"/>
              <w:right w:w="110" w:type="dxa"/>
            </w:tcMar>
            <w:vAlign w:val="center"/>
          </w:tcPr>
          <w:p w14:paraId="1107089F" w14:textId="77777777" w:rsidR="00D73286" w:rsidRDefault="003405A5">
            <w:pPr>
              <w:spacing w:after="40" w:line="240" w:lineRule="auto"/>
              <w:jc w:val="left"/>
            </w:pPr>
            <w:r>
              <w:rPr>
                <w:rFonts w:eastAsia="Arial" w:cs="Arial"/>
              </w:rPr>
              <w:t>Check the supervisor comments and revise the report.</w:t>
            </w:r>
          </w:p>
        </w:tc>
        <w:tc>
          <w:tcPr>
            <w:tcW w:w="2736" w:type="dxa"/>
            <w:shd w:val="clear" w:color="auto" w:fill="FFFFFF"/>
            <w:tcMar>
              <w:top w:w="100" w:type="dxa"/>
              <w:left w:w="110" w:type="dxa"/>
              <w:bottom w:w="100" w:type="dxa"/>
              <w:right w:w="110" w:type="dxa"/>
            </w:tcMar>
            <w:vAlign w:val="center"/>
          </w:tcPr>
          <w:p w14:paraId="55E276BB" w14:textId="77777777" w:rsidR="00D73286" w:rsidRDefault="003405A5">
            <w:pPr>
              <w:spacing w:after="40" w:line="240" w:lineRule="auto"/>
              <w:jc w:val="left"/>
            </w:pPr>
            <w:r>
              <w:rPr>
                <w:rFonts w:eastAsia="Arial" w:cs="Arial"/>
              </w:rPr>
              <w:t>Added an updateable table of contents and aligned three hypotheses with the three research questions.</w:t>
            </w:r>
          </w:p>
        </w:tc>
        <w:tc>
          <w:tcPr>
            <w:tcW w:w="2736" w:type="dxa"/>
            <w:shd w:val="clear" w:color="auto" w:fill="FFFFFF"/>
            <w:tcMar>
              <w:top w:w="100" w:type="dxa"/>
              <w:left w:w="110" w:type="dxa"/>
              <w:bottom w:w="100" w:type="dxa"/>
              <w:right w:w="110" w:type="dxa"/>
            </w:tcMar>
            <w:vAlign w:val="center"/>
          </w:tcPr>
          <w:p w14:paraId="6BF1BBE6" w14:textId="77777777" w:rsidR="00D73286" w:rsidRDefault="003405A5">
            <w:pPr>
              <w:spacing w:after="40" w:line="240" w:lineRule="auto"/>
              <w:jc w:val="left"/>
            </w:pPr>
            <w:r>
              <w:rPr>
                <w:rFonts w:eastAsia="Arial" w:cs="Arial"/>
              </w:rPr>
              <w:t>Verified the revised document and retained the reviewed original.</w:t>
            </w:r>
          </w:p>
        </w:tc>
      </w:tr>
      <w:tr w:rsidR="00D73286" w14:paraId="0217843E" w14:textId="77777777">
        <w:trPr>
          <w:cantSplit/>
        </w:trPr>
        <w:tc>
          <w:tcPr>
            <w:tcW w:w="1440" w:type="dxa"/>
            <w:shd w:val="clear" w:color="auto" w:fill="F2F6FA"/>
            <w:tcMar>
              <w:top w:w="100" w:type="dxa"/>
              <w:left w:w="110" w:type="dxa"/>
              <w:bottom w:w="100" w:type="dxa"/>
              <w:right w:w="110" w:type="dxa"/>
            </w:tcMar>
            <w:vAlign w:val="center"/>
          </w:tcPr>
          <w:p w14:paraId="3F976425" w14:textId="77777777" w:rsidR="00D73286" w:rsidRDefault="003405A5">
            <w:pPr>
              <w:spacing w:after="40" w:line="240" w:lineRule="auto"/>
              <w:jc w:val="left"/>
            </w:pPr>
            <w:r>
              <w:rPr>
                <w:rFonts w:eastAsia="Arial" w:cs="Arial"/>
              </w:rPr>
              <w:t>Final compliance</w:t>
            </w:r>
          </w:p>
        </w:tc>
        <w:tc>
          <w:tcPr>
            <w:tcW w:w="2736" w:type="dxa"/>
            <w:shd w:val="clear" w:color="auto" w:fill="F2F6FA"/>
            <w:tcMar>
              <w:top w:w="100" w:type="dxa"/>
              <w:left w:w="110" w:type="dxa"/>
              <w:bottom w:w="100" w:type="dxa"/>
              <w:right w:w="110" w:type="dxa"/>
            </w:tcMar>
            <w:vAlign w:val="center"/>
          </w:tcPr>
          <w:p w14:paraId="2DE9AB45" w14:textId="77777777" w:rsidR="00D73286" w:rsidRDefault="003405A5">
            <w:pPr>
              <w:spacing w:after="40" w:line="240" w:lineRule="auto"/>
              <w:jc w:val="left"/>
            </w:pPr>
            <w:r>
              <w:rPr>
                <w:rFonts w:eastAsia="Arial" w:cs="Arial"/>
              </w:rPr>
              <w:t>Confirm whether an artefacts or appendices page is required and prepare the final submission structure.</w:t>
            </w:r>
          </w:p>
        </w:tc>
        <w:tc>
          <w:tcPr>
            <w:tcW w:w="2736" w:type="dxa"/>
            <w:shd w:val="clear" w:color="auto" w:fill="F2F6FA"/>
            <w:tcMar>
              <w:top w:w="100" w:type="dxa"/>
              <w:left w:w="110" w:type="dxa"/>
              <w:bottom w:w="100" w:type="dxa"/>
              <w:right w:w="110" w:type="dxa"/>
            </w:tcMar>
            <w:vAlign w:val="center"/>
          </w:tcPr>
          <w:p w14:paraId="785C4902" w14:textId="77777777" w:rsidR="00D73286" w:rsidRDefault="003405A5">
            <w:pPr>
              <w:spacing w:after="40" w:line="240" w:lineRule="auto"/>
              <w:jc w:val="left"/>
            </w:pPr>
            <w:r>
              <w:rPr>
                <w:rFonts w:eastAsia="Arial" w:cs="Arial"/>
              </w:rPr>
              <w:t>Checked the module brief and added the declaration, annexures, disclosure and artefacts register.</w:t>
            </w:r>
          </w:p>
        </w:tc>
        <w:tc>
          <w:tcPr>
            <w:tcW w:w="2736" w:type="dxa"/>
            <w:shd w:val="clear" w:color="auto" w:fill="F2F6FA"/>
            <w:tcMar>
              <w:top w:w="100" w:type="dxa"/>
              <w:left w:w="110" w:type="dxa"/>
              <w:bottom w:w="100" w:type="dxa"/>
              <w:right w:w="110" w:type="dxa"/>
            </w:tcMar>
            <w:vAlign w:val="center"/>
          </w:tcPr>
          <w:p w14:paraId="0769D4DB" w14:textId="77777777" w:rsidR="00D73286" w:rsidRDefault="003405A5">
            <w:pPr>
              <w:spacing w:after="40" w:line="240" w:lineRule="auto"/>
              <w:jc w:val="left"/>
            </w:pPr>
            <w:r>
              <w:rPr>
                <w:rFonts w:eastAsia="Arial" w:cs="Arial"/>
              </w:rPr>
              <w:t>The confirmed body-word-count requirement is 12,000-17,000 words, excluding illustrative material, the reference list and annexures.</w:t>
            </w:r>
          </w:p>
        </w:tc>
      </w:tr>
      <w:tr w:rsidR="0070366D" w14:paraId="27C6B0C3" w14:textId="77777777">
        <w:trPr>
          <w:cantSplit/>
        </w:trPr>
        <w:tc>
          <w:tcPr>
            <w:tcW w:w="1440" w:type="dxa"/>
          </w:tcPr>
          <w:p w14:paraId="5B38F838" w14:textId="77777777" w:rsidR="0070366D" w:rsidRDefault="00DF4816">
            <w:pPr>
              <w:spacing w:after="40" w:line="240" w:lineRule="auto"/>
              <w:jc w:val="left"/>
            </w:pPr>
            <w:r>
              <w:rPr>
                <w:rFonts w:eastAsia="Arial" w:cs="Arial"/>
              </w:rPr>
              <w:t>Final word-count revision</w:t>
            </w:r>
          </w:p>
        </w:tc>
        <w:tc>
          <w:tcPr>
            <w:tcW w:w="2736" w:type="dxa"/>
          </w:tcPr>
          <w:p w14:paraId="339750F1" w14:textId="77777777" w:rsidR="0070366D" w:rsidRDefault="00DF4816">
            <w:pPr>
              <w:spacing w:after="40" w:line="240" w:lineRule="auto"/>
              <w:jc w:val="left"/>
            </w:pPr>
            <w:r>
              <w:rPr>
                <w:rFonts w:eastAsia="Arial" w:cs="Arial"/>
              </w:rPr>
              <w:t>Expand the report to meet the required body-word-count range without changing the recorded results.</w:t>
            </w:r>
          </w:p>
        </w:tc>
        <w:tc>
          <w:tcPr>
            <w:tcW w:w="2736" w:type="dxa"/>
          </w:tcPr>
          <w:p w14:paraId="4F08FACD" w14:textId="77777777" w:rsidR="0070366D" w:rsidRDefault="00DF4816">
            <w:pPr>
              <w:spacing w:after="40" w:line="240" w:lineRule="auto"/>
              <w:jc w:val="left"/>
            </w:pPr>
            <w:r>
              <w:rPr>
                <w:rFonts w:eastAsia="Arial" w:cs="Arial"/>
              </w:rPr>
              <w:t>Assisted with literature synthesis, methodological explanation, results interpretation, academic language revision and final quality checks.</w:t>
            </w:r>
          </w:p>
        </w:tc>
        <w:tc>
          <w:tcPr>
            <w:tcW w:w="2736" w:type="dxa"/>
          </w:tcPr>
          <w:p w14:paraId="268A6EBB" w14:textId="77777777" w:rsidR="0070366D" w:rsidRDefault="00DF4816">
            <w:pPr>
              <w:spacing w:after="40" w:line="240" w:lineRule="auto"/>
              <w:jc w:val="left"/>
            </w:pPr>
            <w:r>
              <w:rPr>
                <w:rFonts w:eastAsia="Arial" w:cs="Arial"/>
              </w:rPr>
              <w:t>The student must verify the expanded analysis, citations, word count and consistency with the completed research before submission.</w:t>
            </w:r>
          </w:p>
        </w:tc>
      </w:tr>
    </w:tbl>
    <w:p w14:paraId="0C77DE7E" w14:textId="77777777" w:rsidR="00D73286" w:rsidRDefault="003405A5">
      <w:r>
        <w:rPr>
          <w:rFonts w:eastAsia="Arial" w:cs="Arial"/>
        </w:rPr>
        <w:br w:type="page"/>
      </w:r>
    </w:p>
    <w:p w14:paraId="6D9F3D58" w14:textId="77777777" w:rsidR="00D73286" w:rsidRDefault="003405A5">
      <w:pPr>
        <w:pStyle w:val="Heading1"/>
      </w:pPr>
      <w:bookmarkStart w:id="86" w:name="annex_c"/>
      <w:bookmarkStart w:id="87" w:name="_Toc244188272"/>
      <w:r>
        <w:rPr>
          <w:rFonts w:ascii="Arial" w:eastAsia="Arial" w:hAnsi="Arial" w:cs="Arial"/>
        </w:rPr>
        <w:lastRenderedPageBreak/>
        <w:t>Annexure C Dataset Description</w:t>
      </w:r>
      <w:bookmarkEnd w:id="86"/>
      <w:bookmarkEnd w:id="87"/>
    </w:p>
    <w:p w14:paraId="1101544E" w14:textId="77777777" w:rsidR="00D73286" w:rsidRDefault="003405A5">
      <w:r>
        <w:rPr>
          <w:rFonts w:eastAsia="Arial" w:cs="Arial"/>
        </w:rPr>
        <w:t>The study used the public Kaggle Credit Card Fraud Detection dataset as a methodological benchmark. The dataset describes European card transactions from September 2013 and is not presented as a current representation of South African banking behaviour.</w:t>
      </w:r>
    </w:p>
    <w:tbl>
      <w:tblPr>
        <w:tblStyle w:val="TableGrid"/>
        <w:tblW w:w="0" w:type="auto"/>
        <w:tblLayout w:type="fixed"/>
        <w:tblLook w:val="04A0" w:firstRow="1" w:lastRow="0" w:firstColumn="1" w:lastColumn="0" w:noHBand="0" w:noVBand="1"/>
      </w:tblPr>
      <w:tblGrid>
        <w:gridCol w:w="2448"/>
        <w:gridCol w:w="7200"/>
      </w:tblGrid>
      <w:tr w:rsidR="00D73286" w14:paraId="4E4ED036" w14:textId="77777777">
        <w:trPr>
          <w:cantSplit/>
          <w:tblHeader/>
        </w:trPr>
        <w:tc>
          <w:tcPr>
            <w:tcW w:w="2448" w:type="dxa"/>
            <w:shd w:val="clear" w:color="auto" w:fill="17365D"/>
            <w:tcMar>
              <w:top w:w="100" w:type="dxa"/>
              <w:left w:w="110" w:type="dxa"/>
              <w:bottom w:w="100" w:type="dxa"/>
              <w:right w:w="110" w:type="dxa"/>
            </w:tcMar>
            <w:vAlign w:val="center"/>
          </w:tcPr>
          <w:p w14:paraId="7B0BE735" w14:textId="77777777" w:rsidR="00D73286" w:rsidRDefault="003405A5">
            <w:pPr>
              <w:spacing w:after="40" w:line="240" w:lineRule="auto"/>
              <w:jc w:val="center"/>
            </w:pPr>
            <w:r>
              <w:rPr>
                <w:rFonts w:eastAsia="Arial" w:cs="Arial"/>
                <w:b/>
              </w:rPr>
              <w:t>Dataset element</w:t>
            </w:r>
          </w:p>
        </w:tc>
        <w:tc>
          <w:tcPr>
            <w:tcW w:w="7200" w:type="dxa"/>
            <w:shd w:val="clear" w:color="auto" w:fill="17365D"/>
            <w:tcMar>
              <w:top w:w="100" w:type="dxa"/>
              <w:left w:w="110" w:type="dxa"/>
              <w:bottom w:w="100" w:type="dxa"/>
              <w:right w:w="110" w:type="dxa"/>
            </w:tcMar>
            <w:vAlign w:val="center"/>
          </w:tcPr>
          <w:p w14:paraId="12B1E946" w14:textId="77777777" w:rsidR="00D73286" w:rsidRDefault="003405A5">
            <w:pPr>
              <w:spacing w:after="40" w:line="240" w:lineRule="auto"/>
              <w:jc w:val="center"/>
            </w:pPr>
            <w:r>
              <w:rPr>
                <w:rFonts w:eastAsia="Arial" w:cs="Arial"/>
                <w:b/>
              </w:rPr>
              <w:t>Description</w:t>
            </w:r>
          </w:p>
        </w:tc>
      </w:tr>
      <w:tr w:rsidR="00D73286" w14:paraId="2864D9B9" w14:textId="77777777">
        <w:trPr>
          <w:cantSplit/>
        </w:trPr>
        <w:tc>
          <w:tcPr>
            <w:tcW w:w="2448" w:type="dxa"/>
            <w:shd w:val="clear" w:color="auto" w:fill="FFFFFF"/>
            <w:tcMar>
              <w:top w:w="100" w:type="dxa"/>
              <w:left w:w="110" w:type="dxa"/>
              <w:bottom w:w="100" w:type="dxa"/>
              <w:right w:w="110" w:type="dxa"/>
            </w:tcMar>
            <w:vAlign w:val="center"/>
          </w:tcPr>
          <w:p w14:paraId="409680C8" w14:textId="77777777" w:rsidR="00D73286" w:rsidRDefault="003405A5">
            <w:pPr>
              <w:spacing w:after="40" w:line="240" w:lineRule="auto"/>
              <w:jc w:val="left"/>
            </w:pPr>
            <w:r>
              <w:rPr>
                <w:rFonts w:eastAsia="Arial" w:cs="Arial"/>
              </w:rPr>
              <w:t>Source</w:t>
            </w:r>
          </w:p>
        </w:tc>
        <w:tc>
          <w:tcPr>
            <w:tcW w:w="7200" w:type="dxa"/>
            <w:shd w:val="clear" w:color="auto" w:fill="FFFFFF"/>
            <w:tcMar>
              <w:top w:w="100" w:type="dxa"/>
              <w:left w:w="110" w:type="dxa"/>
              <w:bottom w:w="100" w:type="dxa"/>
              <w:right w:w="110" w:type="dxa"/>
            </w:tcMar>
            <w:vAlign w:val="center"/>
          </w:tcPr>
          <w:p w14:paraId="68D75856" w14:textId="77777777" w:rsidR="00D73286" w:rsidRDefault="003405A5">
            <w:pPr>
              <w:spacing w:after="40" w:line="240" w:lineRule="auto"/>
              <w:jc w:val="left"/>
            </w:pPr>
            <w:r>
              <w:rPr>
                <w:rFonts w:eastAsia="Arial" w:cs="Arial"/>
              </w:rPr>
              <w:t>Kaggle Credit Card Fraud Detection dataset</w:t>
            </w:r>
          </w:p>
        </w:tc>
      </w:tr>
      <w:tr w:rsidR="00D73286" w14:paraId="56B16029" w14:textId="77777777">
        <w:trPr>
          <w:cantSplit/>
        </w:trPr>
        <w:tc>
          <w:tcPr>
            <w:tcW w:w="2448" w:type="dxa"/>
            <w:shd w:val="clear" w:color="auto" w:fill="F2F6FA"/>
            <w:tcMar>
              <w:top w:w="100" w:type="dxa"/>
              <w:left w:w="110" w:type="dxa"/>
              <w:bottom w:w="100" w:type="dxa"/>
              <w:right w:w="110" w:type="dxa"/>
            </w:tcMar>
            <w:vAlign w:val="center"/>
          </w:tcPr>
          <w:p w14:paraId="40015910" w14:textId="77777777" w:rsidR="00D73286" w:rsidRDefault="003405A5">
            <w:pPr>
              <w:spacing w:after="40" w:line="240" w:lineRule="auto"/>
              <w:jc w:val="left"/>
            </w:pPr>
            <w:r>
              <w:rPr>
                <w:rFonts w:eastAsia="Arial" w:cs="Arial"/>
              </w:rPr>
              <w:t>Population represented</w:t>
            </w:r>
          </w:p>
        </w:tc>
        <w:tc>
          <w:tcPr>
            <w:tcW w:w="7200" w:type="dxa"/>
            <w:shd w:val="clear" w:color="auto" w:fill="F2F6FA"/>
            <w:tcMar>
              <w:top w:w="100" w:type="dxa"/>
              <w:left w:w="110" w:type="dxa"/>
              <w:bottom w:w="100" w:type="dxa"/>
              <w:right w:w="110" w:type="dxa"/>
            </w:tcMar>
            <w:vAlign w:val="center"/>
          </w:tcPr>
          <w:p w14:paraId="0EC27FE6" w14:textId="77777777" w:rsidR="00D73286" w:rsidRDefault="003405A5">
            <w:pPr>
              <w:spacing w:after="40" w:line="240" w:lineRule="auto"/>
              <w:jc w:val="left"/>
            </w:pPr>
            <w:r>
              <w:rPr>
                <w:rFonts w:eastAsia="Arial" w:cs="Arial"/>
              </w:rPr>
              <w:t>284,807 anonymised European card transactions recorded over two days in September 2013</w:t>
            </w:r>
          </w:p>
        </w:tc>
      </w:tr>
      <w:tr w:rsidR="00D73286" w14:paraId="5B55D2E6" w14:textId="77777777">
        <w:trPr>
          <w:cantSplit/>
        </w:trPr>
        <w:tc>
          <w:tcPr>
            <w:tcW w:w="2448" w:type="dxa"/>
            <w:shd w:val="clear" w:color="auto" w:fill="FFFFFF"/>
            <w:tcMar>
              <w:top w:w="100" w:type="dxa"/>
              <w:left w:w="110" w:type="dxa"/>
              <w:bottom w:w="100" w:type="dxa"/>
              <w:right w:w="110" w:type="dxa"/>
            </w:tcMar>
            <w:vAlign w:val="center"/>
          </w:tcPr>
          <w:p w14:paraId="6DC2FB47" w14:textId="77777777" w:rsidR="00D73286" w:rsidRDefault="003405A5">
            <w:pPr>
              <w:spacing w:after="40" w:line="240" w:lineRule="auto"/>
              <w:jc w:val="left"/>
            </w:pPr>
            <w:r>
              <w:rPr>
                <w:rFonts w:eastAsia="Arial" w:cs="Arial"/>
              </w:rPr>
              <w:t>Outcome variable</w:t>
            </w:r>
          </w:p>
        </w:tc>
        <w:tc>
          <w:tcPr>
            <w:tcW w:w="7200" w:type="dxa"/>
            <w:shd w:val="clear" w:color="auto" w:fill="FFFFFF"/>
            <w:tcMar>
              <w:top w:w="100" w:type="dxa"/>
              <w:left w:w="110" w:type="dxa"/>
              <w:bottom w:w="100" w:type="dxa"/>
              <w:right w:w="110" w:type="dxa"/>
            </w:tcMar>
            <w:vAlign w:val="center"/>
          </w:tcPr>
          <w:p w14:paraId="6C2ED2B1" w14:textId="77777777" w:rsidR="00D73286" w:rsidRDefault="003405A5">
            <w:pPr>
              <w:spacing w:after="40" w:line="240" w:lineRule="auto"/>
              <w:jc w:val="left"/>
            </w:pPr>
            <w:r>
              <w:rPr>
                <w:rFonts w:eastAsia="Arial" w:cs="Arial"/>
              </w:rPr>
              <w:t>Class: 0 = legitimate transaction; 1 = fraudulent transaction</w:t>
            </w:r>
          </w:p>
        </w:tc>
      </w:tr>
      <w:tr w:rsidR="00D73286" w14:paraId="67E2867F" w14:textId="77777777">
        <w:trPr>
          <w:cantSplit/>
        </w:trPr>
        <w:tc>
          <w:tcPr>
            <w:tcW w:w="2448" w:type="dxa"/>
            <w:shd w:val="clear" w:color="auto" w:fill="F2F6FA"/>
            <w:tcMar>
              <w:top w:w="100" w:type="dxa"/>
              <w:left w:w="110" w:type="dxa"/>
              <w:bottom w:w="100" w:type="dxa"/>
              <w:right w:w="110" w:type="dxa"/>
            </w:tcMar>
            <w:vAlign w:val="center"/>
          </w:tcPr>
          <w:p w14:paraId="0688B27A" w14:textId="77777777" w:rsidR="00D73286" w:rsidRDefault="003405A5">
            <w:pPr>
              <w:spacing w:after="40" w:line="240" w:lineRule="auto"/>
              <w:jc w:val="left"/>
            </w:pPr>
            <w:r>
              <w:rPr>
                <w:rFonts w:eastAsia="Arial" w:cs="Arial"/>
              </w:rPr>
              <w:t>Class distribution</w:t>
            </w:r>
          </w:p>
        </w:tc>
        <w:tc>
          <w:tcPr>
            <w:tcW w:w="7200" w:type="dxa"/>
            <w:shd w:val="clear" w:color="auto" w:fill="F2F6FA"/>
            <w:tcMar>
              <w:top w:w="100" w:type="dxa"/>
              <w:left w:w="110" w:type="dxa"/>
              <w:bottom w:w="100" w:type="dxa"/>
              <w:right w:w="110" w:type="dxa"/>
            </w:tcMar>
            <w:vAlign w:val="center"/>
          </w:tcPr>
          <w:p w14:paraId="45339B88" w14:textId="77777777" w:rsidR="00D73286" w:rsidRDefault="003405A5">
            <w:pPr>
              <w:spacing w:after="40" w:line="240" w:lineRule="auto"/>
              <w:jc w:val="left"/>
            </w:pPr>
            <w:r>
              <w:rPr>
                <w:rFonts w:eastAsia="Arial" w:cs="Arial"/>
              </w:rPr>
              <w:t>284,315 legitimate transactions and 492 fraudulent transactions; fraud prevalence approximately 0.172%</w:t>
            </w:r>
          </w:p>
        </w:tc>
      </w:tr>
      <w:tr w:rsidR="00D73286" w14:paraId="1AA07CC5" w14:textId="77777777">
        <w:trPr>
          <w:cantSplit/>
        </w:trPr>
        <w:tc>
          <w:tcPr>
            <w:tcW w:w="2448" w:type="dxa"/>
            <w:shd w:val="clear" w:color="auto" w:fill="FFFFFF"/>
            <w:tcMar>
              <w:top w:w="100" w:type="dxa"/>
              <w:left w:w="110" w:type="dxa"/>
              <w:bottom w:w="100" w:type="dxa"/>
              <w:right w:w="110" w:type="dxa"/>
            </w:tcMar>
            <w:vAlign w:val="center"/>
          </w:tcPr>
          <w:p w14:paraId="784EAB06" w14:textId="77777777" w:rsidR="00D73286" w:rsidRDefault="003405A5">
            <w:pPr>
              <w:spacing w:after="40" w:line="240" w:lineRule="auto"/>
              <w:jc w:val="left"/>
            </w:pPr>
            <w:r>
              <w:rPr>
                <w:rFonts w:eastAsia="Arial" w:cs="Arial"/>
              </w:rPr>
              <w:t>Predictor variables</w:t>
            </w:r>
          </w:p>
        </w:tc>
        <w:tc>
          <w:tcPr>
            <w:tcW w:w="7200" w:type="dxa"/>
            <w:shd w:val="clear" w:color="auto" w:fill="FFFFFF"/>
            <w:tcMar>
              <w:top w:w="100" w:type="dxa"/>
              <w:left w:w="110" w:type="dxa"/>
              <w:bottom w:w="100" w:type="dxa"/>
              <w:right w:w="110" w:type="dxa"/>
            </w:tcMar>
            <w:vAlign w:val="center"/>
          </w:tcPr>
          <w:p w14:paraId="7D03ECCD" w14:textId="77777777" w:rsidR="00D73286" w:rsidRDefault="003405A5">
            <w:pPr>
              <w:spacing w:after="40" w:line="240" w:lineRule="auto"/>
              <w:jc w:val="left"/>
            </w:pPr>
            <w:r>
              <w:rPr>
                <w:rFonts w:eastAsia="Arial" w:cs="Arial"/>
              </w:rPr>
              <w:t>V1-V28 anonymised principal components, together with Time and Amount</w:t>
            </w:r>
          </w:p>
        </w:tc>
      </w:tr>
      <w:tr w:rsidR="00D73286" w14:paraId="4F85EAC5" w14:textId="77777777">
        <w:trPr>
          <w:cantSplit/>
        </w:trPr>
        <w:tc>
          <w:tcPr>
            <w:tcW w:w="2448" w:type="dxa"/>
            <w:shd w:val="clear" w:color="auto" w:fill="F2F6FA"/>
            <w:tcMar>
              <w:top w:w="100" w:type="dxa"/>
              <w:left w:w="110" w:type="dxa"/>
              <w:bottom w:w="100" w:type="dxa"/>
              <w:right w:w="110" w:type="dxa"/>
            </w:tcMar>
            <w:vAlign w:val="center"/>
          </w:tcPr>
          <w:p w14:paraId="19DF54A1" w14:textId="77777777" w:rsidR="00D73286" w:rsidRDefault="003405A5">
            <w:pPr>
              <w:spacing w:after="40" w:line="240" w:lineRule="auto"/>
              <w:jc w:val="left"/>
            </w:pPr>
            <w:r>
              <w:rPr>
                <w:rFonts w:eastAsia="Arial" w:cs="Arial"/>
              </w:rPr>
              <w:t>Primary preparation</w:t>
            </w:r>
          </w:p>
        </w:tc>
        <w:tc>
          <w:tcPr>
            <w:tcW w:w="7200" w:type="dxa"/>
            <w:shd w:val="clear" w:color="auto" w:fill="F2F6FA"/>
            <w:tcMar>
              <w:top w:w="100" w:type="dxa"/>
              <w:left w:w="110" w:type="dxa"/>
              <w:bottom w:w="100" w:type="dxa"/>
              <w:right w:w="110" w:type="dxa"/>
            </w:tcMar>
            <w:vAlign w:val="center"/>
          </w:tcPr>
          <w:p w14:paraId="27BE6DC5" w14:textId="77777777" w:rsidR="00D73286" w:rsidRDefault="003405A5">
            <w:pPr>
              <w:spacing w:after="40" w:line="240" w:lineRule="auto"/>
              <w:jc w:val="left"/>
            </w:pPr>
            <w:r>
              <w:rPr>
                <w:rFonts w:eastAsia="Arial" w:cs="Arial"/>
              </w:rPr>
              <w:t>Stratified 80:20 split; training-only scaling, majority-class sampling and SMOTE; untouched imbalanced test set</w:t>
            </w:r>
          </w:p>
        </w:tc>
      </w:tr>
      <w:tr w:rsidR="00D73286" w14:paraId="535350BA" w14:textId="77777777">
        <w:trPr>
          <w:cantSplit/>
        </w:trPr>
        <w:tc>
          <w:tcPr>
            <w:tcW w:w="2448" w:type="dxa"/>
            <w:shd w:val="clear" w:color="auto" w:fill="FFFFFF"/>
            <w:tcMar>
              <w:top w:w="100" w:type="dxa"/>
              <w:left w:w="110" w:type="dxa"/>
              <w:bottom w:w="100" w:type="dxa"/>
              <w:right w:w="110" w:type="dxa"/>
            </w:tcMar>
            <w:vAlign w:val="center"/>
          </w:tcPr>
          <w:p w14:paraId="5F8C56FD" w14:textId="77777777" w:rsidR="00D73286" w:rsidRDefault="003405A5">
            <w:pPr>
              <w:spacing w:after="40" w:line="240" w:lineRule="auto"/>
              <w:jc w:val="left"/>
            </w:pPr>
            <w:r>
              <w:rPr>
                <w:rFonts w:eastAsia="Arial" w:cs="Arial"/>
              </w:rPr>
              <w:t>Primary limitations</w:t>
            </w:r>
          </w:p>
        </w:tc>
        <w:tc>
          <w:tcPr>
            <w:tcW w:w="7200" w:type="dxa"/>
            <w:shd w:val="clear" w:color="auto" w:fill="FFFFFF"/>
            <w:tcMar>
              <w:top w:w="100" w:type="dxa"/>
              <w:left w:w="110" w:type="dxa"/>
              <w:bottom w:w="100" w:type="dxa"/>
              <w:right w:w="110" w:type="dxa"/>
            </w:tcMar>
            <w:vAlign w:val="center"/>
          </w:tcPr>
          <w:p w14:paraId="25F2166E" w14:textId="77777777" w:rsidR="00D73286" w:rsidRDefault="003405A5">
            <w:pPr>
              <w:spacing w:after="40" w:line="240" w:lineRule="auto"/>
              <w:jc w:val="left"/>
            </w:pPr>
            <w:r>
              <w:rPr>
                <w:rFonts w:eastAsia="Arial" w:cs="Arial"/>
              </w:rPr>
              <w:t>Historical European data, anonymised feature meanings, extremely rare fraud class and no direct South African deployment validation</w:t>
            </w:r>
          </w:p>
        </w:tc>
      </w:tr>
      <w:tr w:rsidR="00D73286" w14:paraId="37042E4B" w14:textId="77777777">
        <w:trPr>
          <w:cantSplit/>
        </w:trPr>
        <w:tc>
          <w:tcPr>
            <w:tcW w:w="2448" w:type="dxa"/>
            <w:shd w:val="clear" w:color="auto" w:fill="F2F6FA"/>
            <w:tcMar>
              <w:top w:w="100" w:type="dxa"/>
              <w:left w:w="110" w:type="dxa"/>
              <w:bottom w:w="100" w:type="dxa"/>
              <w:right w:w="110" w:type="dxa"/>
            </w:tcMar>
            <w:vAlign w:val="center"/>
          </w:tcPr>
          <w:p w14:paraId="3E4CD673" w14:textId="77777777" w:rsidR="00D73286" w:rsidRDefault="003405A5">
            <w:pPr>
              <w:spacing w:after="40" w:line="240" w:lineRule="auto"/>
              <w:jc w:val="left"/>
            </w:pPr>
            <w:r>
              <w:rPr>
                <w:rFonts w:eastAsia="Arial" w:cs="Arial"/>
              </w:rPr>
              <w:t>Intended use</w:t>
            </w:r>
          </w:p>
        </w:tc>
        <w:tc>
          <w:tcPr>
            <w:tcW w:w="7200" w:type="dxa"/>
            <w:shd w:val="clear" w:color="auto" w:fill="F2F6FA"/>
            <w:tcMar>
              <w:top w:w="100" w:type="dxa"/>
              <w:left w:w="110" w:type="dxa"/>
              <w:bottom w:w="100" w:type="dxa"/>
              <w:right w:w="110" w:type="dxa"/>
            </w:tcMar>
            <w:vAlign w:val="center"/>
          </w:tcPr>
          <w:p w14:paraId="24CBBC51" w14:textId="77777777" w:rsidR="00D73286" w:rsidRDefault="003405A5">
            <w:pPr>
              <w:spacing w:after="40" w:line="240" w:lineRule="auto"/>
              <w:jc w:val="left"/>
            </w:pPr>
            <w:r>
              <w:rPr>
                <w:rFonts w:eastAsia="Arial" w:cs="Arial"/>
              </w:rPr>
              <w:t>Controlled comparison of five classifiers and methodological evaluation of SHAP and LIME explanations</w:t>
            </w:r>
          </w:p>
        </w:tc>
      </w:tr>
    </w:tbl>
    <w:p w14:paraId="3670B5EF" w14:textId="77777777" w:rsidR="00D73286" w:rsidRDefault="003405A5">
      <w:r>
        <w:rPr>
          <w:rFonts w:eastAsia="Arial" w:cs="Arial"/>
        </w:rPr>
        <w:br w:type="page"/>
      </w:r>
    </w:p>
    <w:p w14:paraId="1D005EA1" w14:textId="77777777" w:rsidR="00D73286" w:rsidRDefault="003405A5">
      <w:pPr>
        <w:pStyle w:val="Heading1"/>
      </w:pPr>
      <w:bookmarkStart w:id="88" w:name="annex_d"/>
      <w:bookmarkStart w:id="89" w:name="_Toc244188273"/>
      <w:r>
        <w:rPr>
          <w:rFonts w:ascii="Arial" w:eastAsia="Arial" w:hAnsi="Arial" w:cs="Arial"/>
        </w:rPr>
        <w:lastRenderedPageBreak/>
        <w:t>Annexure D Research Artefacts Register</w:t>
      </w:r>
      <w:bookmarkEnd w:id="88"/>
      <w:bookmarkEnd w:id="89"/>
    </w:p>
    <w:p w14:paraId="323B00EF" w14:textId="4DA3A1A1" w:rsidR="00D73286" w:rsidRDefault="003405A5">
      <w:r>
        <w:rPr>
          <w:rFonts w:eastAsia="Arial" w:cs="Arial"/>
        </w:rPr>
        <w:t>The following reproducibility artefacts were produced during the research project. The register records what each artefact contains and how it supports the reported findings. These files should be retained with the project record and supplied separately if requested by the supervisor or assessment portal.</w:t>
      </w:r>
      <w:r>
        <w:t xml:space="preserve"> The public repository containing the research notebook and supporting outputs is available at </w:t>
      </w:r>
      <w:hyperlink r:id="rId28">
        <w:r>
          <w:rPr>
            <w:color w:val="0563C1"/>
            <w:u w:val="single"/>
          </w:rPr>
          <w:t>https://github.com/Siya990808/rpda8412-fraud-detection-xai</w:t>
        </w:r>
      </w:hyperlink>
      <w:r>
        <w:t>.</w:t>
      </w:r>
    </w:p>
    <w:tbl>
      <w:tblPr>
        <w:tblStyle w:val="TableGrid"/>
        <w:tblW w:w="0" w:type="auto"/>
        <w:tblLayout w:type="fixed"/>
        <w:tblLook w:val="04A0" w:firstRow="1" w:lastRow="0" w:firstColumn="1" w:lastColumn="0" w:noHBand="0" w:noVBand="1"/>
      </w:tblPr>
      <w:tblGrid>
        <w:gridCol w:w="2268"/>
        <w:gridCol w:w="3118"/>
        <w:gridCol w:w="3969"/>
      </w:tblGrid>
      <w:tr w:rsidR="00D73286" w14:paraId="27DAFFAB" w14:textId="77777777">
        <w:trPr>
          <w:cantSplit/>
          <w:tblHeader/>
        </w:trPr>
        <w:tc>
          <w:tcPr>
            <w:tcW w:w="2268" w:type="dxa"/>
            <w:shd w:val="clear" w:color="auto" w:fill="17365D"/>
            <w:tcMar>
              <w:top w:w="100" w:type="dxa"/>
              <w:left w:w="110" w:type="dxa"/>
              <w:bottom w:w="100" w:type="dxa"/>
              <w:right w:w="110" w:type="dxa"/>
            </w:tcMar>
            <w:vAlign w:val="center"/>
          </w:tcPr>
          <w:p w14:paraId="1C9F9E61" w14:textId="77777777" w:rsidR="00D73286" w:rsidRDefault="003405A5">
            <w:pPr>
              <w:spacing w:after="40" w:line="240" w:lineRule="auto"/>
              <w:jc w:val="center"/>
            </w:pPr>
            <w:r>
              <w:rPr>
                <w:rFonts w:eastAsia="Arial" w:cs="Arial"/>
                <w:b/>
              </w:rPr>
              <w:t>Artefact</w:t>
            </w:r>
          </w:p>
        </w:tc>
        <w:tc>
          <w:tcPr>
            <w:tcW w:w="3118" w:type="dxa"/>
            <w:shd w:val="clear" w:color="auto" w:fill="17365D"/>
            <w:tcMar>
              <w:top w:w="100" w:type="dxa"/>
              <w:left w:w="110" w:type="dxa"/>
              <w:bottom w:w="100" w:type="dxa"/>
              <w:right w:w="110" w:type="dxa"/>
            </w:tcMar>
            <w:vAlign w:val="center"/>
          </w:tcPr>
          <w:p w14:paraId="328BA2A4" w14:textId="77777777" w:rsidR="00D73286" w:rsidRDefault="003405A5">
            <w:pPr>
              <w:spacing w:after="40" w:line="240" w:lineRule="auto"/>
              <w:jc w:val="center"/>
            </w:pPr>
            <w:r>
              <w:rPr>
                <w:rFonts w:eastAsia="Arial" w:cs="Arial"/>
                <w:b/>
              </w:rPr>
              <w:t>Filename</w:t>
            </w:r>
          </w:p>
        </w:tc>
        <w:tc>
          <w:tcPr>
            <w:tcW w:w="3969" w:type="dxa"/>
            <w:shd w:val="clear" w:color="auto" w:fill="17365D"/>
            <w:tcMar>
              <w:top w:w="100" w:type="dxa"/>
              <w:left w:w="110" w:type="dxa"/>
              <w:bottom w:w="100" w:type="dxa"/>
              <w:right w:w="110" w:type="dxa"/>
            </w:tcMar>
            <w:vAlign w:val="center"/>
          </w:tcPr>
          <w:p w14:paraId="31EB3848" w14:textId="77777777" w:rsidR="00D73286" w:rsidRDefault="003405A5">
            <w:pPr>
              <w:spacing w:after="40" w:line="240" w:lineRule="auto"/>
              <w:jc w:val="center"/>
            </w:pPr>
            <w:r>
              <w:rPr>
                <w:rFonts w:eastAsia="Arial" w:cs="Arial"/>
                <w:b/>
              </w:rPr>
              <w:t>Purpose</w:t>
            </w:r>
          </w:p>
        </w:tc>
      </w:tr>
      <w:tr w:rsidR="00D73286" w14:paraId="71A8DBF6" w14:textId="77777777">
        <w:trPr>
          <w:cantSplit/>
        </w:trPr>
        <w:tc>
          <w:tcPr>
            <w:tcW w:w="2268" w:type="dxa"/>
            <w:shd w:val="clear" w:color="auto" w:fill="FFFFFF"/>
            <w:tcMar>
              <w:top w:w="100" w:type="dxa"/>
              <w:left w:w="110" w:type="dxa"/>
              <w:bottom w:w="100" w:type="dxa"/>
              <w:right w:w="110" w:type="dxa"/>
            </w:tcMar>
            <w:vAlign w:val="center"/>
          </w:tcPr>
          <w:p w14:paraId="178F10F9" w14:textId="77777777" w:rsidR="00D73286" w:rsidRDefault="003405A5">
            <w:pPr>
              <w:spacing w:after="40" w:line="240" w:lineRule="auto"/>
              <w:jc w:val="left"/>
            </w:pPr>
            <w:r>
              <w:rPr>
                <w:rFonts w:eastAsia="Arial" w:cs="Arial"/>
              </w:rPr>
              <w:t>Dataset acquisition script</w:t>
            </w:r>
          </w:p>
        </w:tc>
        <w:tc>
          <w:tcPr>
            <w:tcW w:w="3118" w:type="dxa"/>
            <w:shd w:val="clear" w:color="auto" w:fill="FFFFFF"/>
            <w:tcMar>
              <w:top w:w="100" w:type="dxa"/>
              <w:left w:w="110" w:type="dxa"/>
              <w:bottom w:w="100" w:type="dxa"/>
              <w:right w:w="110" w:type="dxa"/>
            </w:tcMar>
            <w:vAlign w:val="center"/>
          </w:tcPr>
          <w:p w14:paraId="668AEFBB" w14:textId="77777777" w:rsidR="00D73286" w:rsidRDefault="003405A5">
            <w:pPr>
              <w:spacing w:after="40" w:line="240" w:lineRule="auto"/>
              <w:jc w:val="left"/>
            </w:pPr>
            <w:r>
              <w:rPr>
                <w:rFonts w:eastAsia="Arial" w:cs="Arial"/>
              </w:rPr>
              <w:t>fetch_kaggle_dataset.py</w:t>
            </w:r>
          </w:p>
        </w:tc>
        <w:tc>
          <w:tcPr>
            <w:tcW w:w="3969" w:type="dxa"/>
            <w:shd w:val="clear" w:color="auto" w:fill="FFFFFF"/>
            <w:tcMar>
              <w:top w:w="100" w:type="dxa"/>
              <w:left w:w="110" w:type="dxa"/>
              <w:bottom w:w="100" w:type="dxa"/>
              <w:right w:w="110" w:type="dxa"/>
            </w:tcMar>
            <w:vAlign w:val="center"/>
          </w:tcPr>
          <w:p w14:paraId="7B1BB983" w14:textId="77777777" w:rsidR="00D73286" w:rsidRDefault="003405A5">
            <w:pPr>
              <w:spacing w:after="40" w:line="240" w:lineRule="auto"/>
              <w:jc w:val="left"/>
            </w:pPr>
            <w:r>
              <w:rPr>
                <w:rFonts w:eastAsia="Arial" w:cs="Arial"/>
              </w:rPr>
              <w:t>Retrieves or prepares the benchmark dataset used by the analysis.</w:t>
            </w:r>
          </w:p>
        </w:tc>
      </w:tr>
      <w:tr w:rsidR="00D73286" w14:paraId="581AADA6" w14:textId="77777777">
        <w:trPr>
          <w:cantSplit/>
        </w:trPr>
        <w:tc>
          <w:tcPr>
            <w:tcW w:w="2268" w:type="dxa"/>
            <w:shd w:val="clear" w:color="auto" w:fill="F2F6FA"/>
            <w:tcMar>
              <w:top w:w="100" w:type="dxa"/>
              <w:left w:w="110" w:type="dxa"/>
              <w:bottom w:w="100" w:type="dxa"/>
              <w:right w:w="110" w:type="dxa"/>
            </w:tcMar>
            <w:vAlign w:val="center"/>
          </w:tcPr>
          <w:p w14:paraId="760B527E" w14:textId="77777777" w:rsidR="00D73286" w:rsidRDefault="003405A5">
            <w:pPr>
              <w:spacing w:after="40" w:line="240" w:lineRule="auto"/>
              <w:jc w:val="left"/>
            </w:pPr>
            <w:r>
              <w:rPr>
                <w:rFonts w:eastAsia="Arial" w:cs="Arial"/>
              </w:rPr>
              <w:t>Core model-analysis script</w:t>
            </w:r>
          </w:p>
        </w:tc>
        <w:tc>
          <w:tcPr>
            <w:tcW w:w="3118" w:type="dxa"/>
            <w:shd w:val="clear" w:color="auto" w:fill="F2F6FA"/>
            <w:tcMar>
              <w:top w:w="100" w:type="dxa"/>
              <w:left w:w="110" w:type="dxa"/>
              <w:bottom w:w="100" w:type="dxa"/>
              <w:right w:w="110" w:type="dxa"/>
            </w:tcMar>
            <w:vAlign w:val="center"/>
          </w:tcPr>
          <w:p w14:paraId="2B689BCB" w14:textId="77777777" w:rsidR="00D73286" w:rsidRDefault="003405A5">
            <w:pPr>
              <w:spacing w:after="40" w:line="240" w:lineRule="auto"/>
              <w:jc w:val="left"/>
            </w:pPr>
            <w:r>
              <w:rPr>
                <w:rFonts w:eastAsia="Arial" w:cs="Arial"/>
              </w:rPr>
              <w:t>run_ice_task2_analysis.py</w:t>
            </w:r>
          </w:p>
        </w:tc>
        <w:tc>
          <w:tcPr>
            <w:tcW w:w="3969" w:type="dxa"/>
            <w:shd w:val="clear" w:color="auto" w:fill="F2F6FA"/>
            <w:tcMar>
              <w:top w:w="100" w:type="dxa"/>
              <w:left w:w="110" w:type="dxa"/>
              <w:bottom w:w="100" w:type="dxa"/>
              <w:right w:w="110" w:type="dxa"/>
            </w:tcMar>
            <w:vAlign w:val="center"/>
          </w:tcPr>
          <w:p w14:paraId="672D8380" w14:textId="77777777" w:rsidR="00D73286" w:rsidRDefault="003405A5">
            <w:pPr>
              <w:spacing w:after="40" w:line="240" w:lineRule="auto"/>
              <w:jc w:val="left"/>
            </w:pPr>
            <w:r>
              <w:rPr>
                <w:rFonts w:eastAsia="Arial" w:cs="Arial"/>
              </w:rPr>
              <w:t>Performs the split, training-only preprocessing, five-model comparison and metric generation.</w:t>
            </w:r>
          </w:p>
        </w:tc>
      </w:tr>
      <w:tr w:rsidR="00D73286" w14:paraId="748D1533" w14:textId="77777777">
        <w:trPr>
          <w:cantSplit/>
        </w:trPr>
        <w:tc>
          <w:tcPr>
            <w:tcW w:w="2268" w:type="dxa"/>
            <w:shd w:val="clear" w:color="auto" w:fill="FFFFFF"/>
            <w:tcMar>
              <w:top w:w="100" w:type="dxa"/>
              <w:left w:w="110" w:type="dxa"/>
              <w:bottom w:w="100" w:type="dxa"/>
              <w:right w:w="110" w:type="dxa"/>
            </w:tcMar>
            <w:vAlign w:val="center"/>
          </w:tcPr>
          <w:p w14:paraId="1284A594" w14:textId="77777777" w:rsidR="00D73286" w:rsidRDefault="003405A5">
            <w:pPr>
              <w:spacing w:after="40" w:line="240" w:lineRule="auto"/>
              <w:jc w:val="left"/>
            </w:pPr>
            <w:r>
              <w:rPr>
                <w:rFonts w:eastAsia="Arial" w:cs="Arial"/>
              </w:rPr>
              <w:t>Explainability-analysis script</w:t>
            </w:r>
          </w:p>
        </w:tc>
        <w:tc>
          <w:tcPr>
            <w:tcW w:w="3118" w:type="dxa"/>
            <w:shd w:val="clear" w:color="auto" w:fill="FFFFFF"/>
            <w:tcMar>
              <w:top w:w="100" w:type="dxa"/>
              <w:left w:w="110" w:type="dxa"/>
              <w:bottom w:w="100" w:type="dxa"/>
              <w:right w:w="110" w:type="dxa"/>
            </w:tcMar>
            <w:vAlign w:val="center"/>
          </w:tcPr>
          <w:p w14:paraId="05D0E44E" w14:textId="77777777" w:rsidR="00D73286" w:rsidRDefault="003405A5">
            <w:pPr>
              <w:spacing w:after="40" w:line="240" w:lineRule="auto"/>
              <w:jc w:val="left"/>
            </w:pPr>
            <w:r>
              <w:rPr>
                <w:rFonts w:eastAsia="Arial" w:cs="Arial"/>
              </w:rPr>
              <w:t>run_ice_task4_xai.py</w:t>
            </w:r>
          </w:p>
        </w:tc>
        <w:tc>
          <w:tcPr>
            <w:tcW w:w="3969" w:type="dxa"/>
            <w:shd w:val="clear" w:color="auto" w:fill="FFFFFF"/>
            <w:tcMar>
              <w:top w:w="100" w:type="dxa"/>
              <w:left w:w="110" w:type="dxa"/>
              <w:bottom w:w="100" w:type="dxa"/>
              <w:right w:w="110" w:type="dxa"/>
            </w:tcMar>
            <w:vAlign w:val="center"/>
          </w:tcPr>
          <w:p w14:paraId="39D32707" w14:textId="77777777" w:rsidR="00D73286" w:rsidRDefault="003405A5">
            <w:pPr>
              <w:spacing w:after="40" w:line="240" w:lineRule="auto"/>
              <w:jc w:val="left"/>
            </w:pPr>
            <w:r>
              <w:rPr>
                <w:rFonts w:eastAsia="Arial" w:cs="Arial"/>
              </w:rPr>
              <w:t>Produces Random Forest SHAP and LIME explanation outputs and agreement summaries.</w:t>
            </w:r>
          </w:p>
        </w:tc>
      </w:tr>
      <w:tr w:rsidR="00D73286" w14:paraId="570F3F6A" w14:textId="77777777">
        <w:trPr>
          <w:cantSplit/>
        </w:trPr>
        <w:tc>
          <w:tcPr>
            <w:tcW w:w="2268" w:type="dxa"/>
            <w:shd w:val="clear" w:color="auto" w:fill="F2F6FA"/>
            <w:tcMar>
              <w:top w:w="100" w:type="dxa"/>
              <w:left w:w="110" w:type="dxa"/>
              <w:bottom w:w="100" w:type="dxa"/>
              <w:right w:w="110" w:type="dxa"/>
            </w:tcMar>
            <w:vAlign w:val="center"/>
          </w:tcPr>
          <w:p w14:paraId="637347AD" w14:textId="77777777" w:rsidR="00D73286" w:rsidRDefault="003405A5">
            <w:pPr>
              <w:spacing w:after="40" w:line="240" w:lineRule="auto"/>
              <w:jc w:val="left"/>
            </w:pPr>
            <w:r>
              <w:rPr>
                <w:rFonts w:eastAsia="Arial" w:cs="Arial"/>
              </w:rPr>
              <w:t>Model metrics</w:t>
            </w:r>
          </w:p>
        </w:tc>
        <w:tc>
          <w:tcPr>
            <w:tcW w:w="3118" w:type="dxa"/>
            <w:shd w:val="clear" w:color="auto" w:fill="F2F6FA"/>
            <w:tcMar>
              <w:top w:w="100" w:type="dxa"/>
              <w:left w:w="110" w:type="dxa"/>
              <w:bottom w:w="100" w:type="dxa"/>
              <w:right w:w="110" w:type="dxa"/>
            </w:tcMar>
            <w:vAlign w:val="center"/>
          </w:tcPr>
          <w:p w14:paraId="5891A551" w14:textId="77777777" w:rsidR="00D73286" w:rsidRDefault="003405A5">
            <w:pPr>
              <w:spacing w:after="40" w:line="240" w:lineRule="auto"/>
              <w:jc w:val="left"/>
            </w:pPr>
            <w:r>
              <w:rPr>
                <w:rFonts w:eastAsia="Arial" w:cs="Arial"/>
              </w:rPr>
              <w:t>model_metrics.csv</w:t>
            </w:r>
          </w:p>
        </w:tc>
        <w:tc>
          <w:tcPr>
            <w:tcW w:w="3969" w:type="dxa"/>
            <w:shd w:val="clear" w:color="auto" w:fill="F2F6FA"/>
            <w:tcMar>
              <w:top w:w="100" w:type="dxa"/>
              <w:left w:w="110" w:type="dxa"/>
              <w:bottom w:w="100" w:type="dxa"/>
              <w:right w:w="110" w:type="dxa"/>
            </w:tcMar>
            <w:vAlign w:val="center"/>
          </w:tcPr>
          <w:p w14:paraId="667FFCB9" w14:textId="77777777" w:rsidR="00D73286" w:rsidRDefault="003405A5">
            <w:pPr>
              <w:spacing w:after="40" w:line="240" w:lineRule="auto"/>
              <w:jc w:val="left"/>
            </w:pPr>
            <w:r>
              <w:rPr>
                <w:rFonts w:eastAsia="Arial" w:cs="Arial"/>
              </w:rPr>
              <w:t>Records accuracy, precision, recall, F1-score, ROC-AUC and PR-AUC for the five classifiers.</w:t>
            </w:r>
          </w:p>
        </w:tc>
      </w:tr>
      <w:tr w:rsidR="00D73286" w14:paraId="0018CAC7" w14:textId="77777777">
        <w:trPr>
          <w:cantSplit/>
        </w:trPr>
        <w:tc>
          <w:tcPr>
            <w:tcW w:w="2268" w:type="dxa"/>
            <w:shd w:val="clear" w:color="auto" w:fill="FFFFFF"/>
            <w:tcMar>
              <w:top w:w="100" w:type="dxa"/>
              <w:left w:w="110" w:type="dxa"/>
              <w:bottom w:w="100" w:type="dxa"/>
              <w:right w:w="110" w:type="dxa"/>
            </w:tcMar>
            <w:vAlign w:val="center"/>
          </w:tcPr>
          <w:p w14:paraId="7F00A929" w14:textId="77777777" w:rsidR="00D73286" w:rsidRDefault="003405A5">
            <w:pPr>
              <w:spacing w:after="40" w:line="240" w:lineRule="auto"/>
              <w:jc w:val="left"/>
            </w:pPr>
            <w:r>
              <w:rPr>
                <w:rFonts w:eastAsia="Arial" w:cs="Arial"/>
              </w:rPr>
              <w:t>Confusion matrices</w:t>
            </w:r>
          </w:p>
        </w:tc>
        <w:tc>
          <w:tcPr>
            <w:tcW w:w="3118" w:type="dxa"/>
            <w:shd w:val="clear" w:color="auto" w:fill="FFFFFF"/>
            <w:tcMar>
              <w:top w:w="100" w:type="dxa"/>
              <w:left w:w="110" w:type="dxa"/>
              <w:bottom w:w="100" w:type="dxa"/>
              <w:right w:w="110" w:type="dxa"/>
            </w:tcMar>
            <w:vAlign w:val="center"/>
          </w:tcPr>
          <w:p w14:paraId="57667A10" w14:textId="77777777" w:rsidR="00D73286" w:rsidRDefault="003405A5">
            <w:pPr>
              <w:spacing w:after="40" w:line="240" w:lineRule="auto"/>
              <w:jc w:val="left"/>
            </w:pPr>
            <w:r>
              <w:rPr>
                <w:rFonts w:eastAsia="Arial" w:cs="Arial"/>
              </w:rPr>
              <w:t>confusion_matrices.json</w:t>
            </w:r>
          </w:p>
        </w:tc>
        <w:tc>
          <w:tcPr>
            <w:tcW w:w="3969" w:type="dxa"/>
            <w:shd w:val="clear" w:color="auto" w:fill="FFFFFF"/>
            <w:tcMar>
              <w:top w:w="100" w:type="dxa"/>
              <w:left w:w="110" w:type="dxa"/>
              <w:bottom w:w="100" w:type="dxa"/>
              <w:right w:w="110" w:type="dxa"/>
            </w:tcMar>
            <w:vAlign w:val="center"/>
          </w:tcPr>
          <w:p w14:paraId="11658E82" w14:textId="77777777" w:rsidR="00D73286" w:rsidRDefault="003405A5">
            <w:pPr>
              <w:spacing w:after="40" w:line="240" w:lineRule="auto"/>
              <w:jc w:val="left"/>
            </w:pPr>
            <w:r>
              <w:rPr>
                <w:rFonts w:eastAsia="Arial" w:cs="Arial"/>
              </w:rPr>
              <w:t>Records true-negative, false-positive, false-negative and true-positive counts.</w:t>
            </w:r>
          </w:p>
        </w:tc>
      </w:tr>
      <w:tr w:rsidR="00D73286" w14:paraId="17209F01" w14:textId="77777777">
        <w:trPr>
          <w:cantSplit/>
        </w:trPr>
        <w:tc>
          <w:tcPr>
            <w:tcW w:w="2268" w:type="dxa"/>
            <w:shd w:val="clear" w:color="auto" w:fill="F2F6FA"/>
            <w:tcMar>
              <w:top w:w="100" w:type="dxa"/>
              <w:left w:w="110" w:type="dxa"/>
              <w:bottom w:w="100" w:type="dxa"/>
              <w:right w:w="110" w:type="dxa"/>
            </w:tcMar>
            <w:vAlign w:val="center"/>
          </w:tcPr>
          <w:p w14:paraId="5227D496" w14:textId="77777777" w:rsidR="00D73286" w:rsidRDefault="003405A5">
            <w:pPr>
              <w:spacing w:after="40" w:line="240" w:lineRule="auto"/>
              <w:jc w:val="left"/>
            </w:pPr>
            <w:r>
              <w:rPr>
                <w:rFonts w:eastAsia="Arial" w:cs="Arial"/>
              </w:rPr>
              <w:t>Analysis summary</w:t>
            </w:r>
          </w:p>
        </w:tc>
        <w:tc>
          <w:tcPr>
            <w:tcW w:w="3118" w:type="dxa"/>
            <w:shd w:val="clear" w:color="auto" w:fill="F2F6FA"/>
            <w:tcMar>
              <w:top w:w="100" w:type="dxa"/>
              <w:left w:w="110" w:type="dxa"/>
              <w:bottom w:w="100" w:type="dxa"/>
              <w:right w:w="110" w:type="dxa"/>
            </w:tcMar>
            <w:vAlign w:val="center"/>
          </w:tcPr>
          <w:p w14:paraId="5D136358" w14:textId="77777777" w:rsidR="00D73286" w:rsidRDefault="003405A5">
            <w:pPr>
              <w:spacing w:after="40" w:line="240" w:lineRule="auto"/>
              <w:jc w:val="left"/>
            </w:pPr>
            <w:r>
              <w:rPr>
                <w:rFonts w:eastAsia="Arial" w:cs="Arial"/>
              </w:rPr>
              <w:t>analysis_summary.json</w:t>
            </w:r>
          </w:p>
        </w:tc>
        <w:tc>
          <w:tcPr>
            <w:tcW w:w="3969" w:type="dxa"/>
            <w:shd w:val="clear" w:color="auto" w:fill="F2F6FA"/>
            <w:tcMar>
              <w:top w:w="100" w:type="dxa"/>
              <w:left w:w="110" w:type="dxa"/>
              <w:bottom w:w="100" w:type="dxa"/>
              <w:right w:w="110" w:type="dxa"/>
            </w:tcMar>
            <w:vAlign w:val="center"/>
          </w:tcPr>
          <w:p w14:paraId="4BD7212D" w14:textId="77777777" w:rsidR="00D73286" w:rsidRDefault="003405A5">
            <w:pPr>
              <w:spacing w:after="40" w:line="240" w:lineRule="auto"/>
              <w:jc w:val="left"/>
            </w:pPr>
            <w:r>
              <w:rPr>
                <w:rFonts w:eastAsia="Arial" w:cs="Arial"/>
              </w:rPr>
              <w:t>Records dataset, split, resampling and model-run metadata used in the report.</w:t>
            </w:r>
          </w:p>
        </w:tc>
      </w:tr>
      <w:tr w:rsidR="00D73286" w14:paraId="4042A039" w14:textId="77777777">
        <w:trPr>
          <w:cantSplit/>
        </w:trPr>
        <w:tc>
          <w:tcPr>
            <w:tcW w:w="2268" w:type="dxa"/>
            <w:shd w:val="clear" w:color="auto" w:fill="FFFFFF"/>
            <w:tcMar>
              <w:top w:w="100" w:type="dxa"/>
              <w:left w:w="110" w:type="dxa"/>
              <w:bottom w:w="100" w:type="dxa"/>
              <w:right w:w="110" w:type="dxa"/>
            </w:tcMar>
            <w:vAlign w:val="center"/>
          </w:tcPr>
          <w:p w14:paraId="5980B32B" w14:textId="77777777" w:rsidR="00D73286" w:rsidRDefault="003405A5">
            <w:pPr>
              <w:spacing w:after="40" w:line="240" w:lineRule="auto"/>
              <w:jc w:val="left"/>
            </w:pPr>
            <w:r>
              <w:rPr>
                <w:rFonts w:eastAsia="Arial" w:cs="Arial"/>
              </w:rPr>
              <w:t>Global SHAP values</w:t>
            </w:r>
          </w:p>
        </w:tc>
        <w:tc>
          <w:tcPr>
            <w:tcW w:w="3118" w:type="dxa"/>
            <w:shd w:val="clear" w:color="auto" w:fill="FFFFFF"/>
            <w:tcMar>
              <w:top w:w="100" w:type="dxa"/>
              <w:left w:w="110" w:type="dxa"/>
              <w:bottom w:w="100" w:type="dxa"/>
              <w:right w:w="110" w:type="dxa"/>
            </w:tcMar>
            <w:vAlign w:val="center"/>
          </w:tcPr>
          <w:p w14:paraId="39664F3D" w14:textId="77777777" w:rsidR="00D73286" w:rsidRDefault="003405A5">
            <w:pPr>
              <w:spacing w:after="40" w:line="240" w:lineRule="auto"/>
              <w:jc w:val="left"/>
            </w:pPr>
            <w:r>
              <w:rPr>
                <w:rFonts w:eastAsia="Arial" w:cs="Arial"/>
              </w:rPr>
              <w:t>shap_global_importance.csv</w:t>
            </w:r>
          </w:p>
        </w:tc>
        <w:tc>
          <w:tcPr>
            <w:tcW w:w="3969" w:type="dxa"/>
            <w:shd w:val="clear" w:color="auto" w:fill="FFFFFF"/>
            <w:tcMar>
              <w:top w:w="100" w:type="dxa"/>
              <w:left w:w="110" w:type="dxa"/>
              <w:bottom w:w="100" w:type="dxa"/>
              <w:right w:w="110" w:type="dxa"/>
            </w:tcMar>
            <w:vAlign w:val="center"/>
          </w:tcPr>
          <w:p w14:paraId="24FAB01A" w14:textId="77777777" w:rsidR="00D73286" w:rsidRDefault="003405A5">
            <w:pPr>
              <w:spacing w:after="40" w:line="240" w:lineRule="auto"/>
              <w:jc w:val="left"/>
            </w:pPr>
            <w:r>
              <w:rPr>
                <w:rFonts w:eastAsia="Arial" w:cs="Arial"/>
              </w:rPr>
              <w:t>Records the ranked mean absolute SHAP values for the selected Random Forest model.</w:t>
            </w:r>
          </w:p>
        </w:tc>
      </w:tr>
      <w:tr w:rsidR="00D73286" w14:paraId="1CA2AF21" w14:textId="77777777">
        <w:trPr>
          <w:cantSplit/>
        </w:trPr>
        <w:tc>
          <w:tcPr>
            <w:tcW w:w="2268" w:type="dxa"/>
            <w:shd w:val="clear" w:color="auto" w:fill="F2F6FA"/>
            <w:tcMar>
              <w:top w:w="100" w:type="dxa"/>
              <w:left w:w="110" w:type="dxa"/>
              <w:bottom w:w="100" w:type="dxa"/>
              <w:right w:w="110" w:type="dxa"/>
            </w:tcMar>
            <w:vAlign w:val="center"/>
          </w:tcPr>
          <w:p w14:paraId="57098F2F" w14:textId="77777777" w:rsidR="00D73286" w:rsidRDefault="003405A5">
            <w:pPr>
              <w:spacing w:after="40" w:line="240" w:lineRule="auto"/>
              <w:jc w:val="left"/>
            </w:pPr>
            <w:r>
              <w:rPr>
                <w:rFonts w:eastAsia="Arial" w:cs="Arial"/>
              </w:rPr>
              <w:t>Local explanation comparison</w:t>
            </w:r>
          </w:p>
        </w:tc>
        <w:tc>
          <w:tcPr>
            <w:tcW w:w="3118" w:type="dxa"/>
            <w:shd w:val="clear" w:color="auto" w:fill="F2F6FA"/>
            <w:tcMar>
              <w:top w:w="100" w:type="dxa"/>
              <w:left w:w="110" w:type="dxa"/>
              <w:bottom w:w="100" w:type="dxa"/>
              <w:right w:w="110" w:type="dxa"/>
            </w:tcMar>
            <w:vAlign w:val="center"/>
          </w:tcPr>
          <w:p w14:paraId="24C6EE2B" w14:textId="77777777" w:rsidR="00D73286" w:rsidRDefault="003405A5">
            <w:pPr>
              <w:spacing w:after="40" w:line="240" w:lineRule="auto"/>
              <w:jc w:val="left"/>
            </w:pPr>
            <w:r>
              <w:rPr>
                <w:rFonts w:eastAsia="Arial" w:cs="Arial"/>
              </w:rPr>
              <w:t>xai_case_comparison.csv</w:t>
            </w:r>
          </w:p>
        </w:tc>
        <w:tc>
          <w:tcPr>
            <w:tcW w:w="3969" w:type="dxa"/>
            <w:shd w:val="clear" w:color="auto" w:fill="F2F6FA"/>
            <w:tcMar>
              <w:top w:w="100" w:type="dxa"/>
              <w:left w:w="110" w:type="dxa"/>
              <w:bottom w:w="100" w:type="dxa"/>
              <w:right w:w="110" w:type="dxa"/>
            </w:tcMar>
            <w:vAlign w:val="center"/>
          </w:tcPr>
          <w:p w14:paraId="7EABB744" w14:textId="77777777" w:rsidR="00D73286" w:rsidRDefault="003405A5">
            <w:pPr>
              <w:spacing w:after="40" w:line="240" w:lineRule="auto"/>
              <w:jc w:val="left"/>
            </w:pPr>
            <w:r>
              <w:rPr>
                <w:rFonts w:eastAsia="Arial" w:cs="Arial"/>
              </w:rPr>
              <w:t>Records selected SHAP-LIME cases, top features, agreement and LIME stability.</w:t>
            </w:r>
          </w:p>
        </w:tc>
      </w:tr>
      <w:tr w:rsidR="00D73286" w14:paraId="48E9CC60" w14:textId="77777777">
        <w:trPr>
          <w:cantSplit/>
        </w:trPr>
        <w:tc>
          <w:tcPr>
            <w:tcW w:w="2268" w:type="dxa"/>
            <w:shd w:val="clear" w:color="auto" w:fill="FFFFFF"/>
            <w:tcMar>
              <w:top w:w="100" w:type="dxa"/>
              <w:left w:w="110" w:type="dxa"/>
              <w:bottom w:w="100" w:type="dxa"/>
              <w:right w:w="110" w:type="dxa"/>
            </w:tcMar>
            <w:vAlign w:val="center"/>
          </w:tcPr>
          <w:p w14:paraId="28254F8B" w14:textId="77777777" w:rsidR="00D73286" w:rsidRDefault="003405A5">
            <w:pPr>
              <w:spacing w:after="40" w:line="240" w:lineRule="auto"/>
              <w:jc w:val="left"/>
            </w:pPr>
            <w:r>
              <w:rPr>
                <w:rFonts w:eastAsia="Arial" w:cs="Arial"/>
              </w:rPr>
              <w:t>XAI summary</w:t>
            </w:r>
          </w:p>
        </w:tc>
        <w:tc>
          <w:tcPr>
            <w:tcW w:w="3118" w:type="dxa"/>
            <w:shd w:val="clear" w:color="auto" w:fill="FFFFFF"/>
            <w:tcMar>
              <w:top w:w="100" w:type="dxa"/>
              <w:left w:w="110" w:type="dxa"/>
              <w:bottom w:w="100" w:type="dxa"/>
              <w:right w:w="110" w:type="dxa"/>
            </w:tcMar>
            <w:vAlign w:val="center"/>
          </w:tcPr>
          <w:p w14:paraId="3A695712" w14:textId="77777777" w:rsidR="00D73286" w:rsidRDefault="003405A5">
            <w:pPr>
              <w:spacing w:after="40" w:line="240" w:lineRule="auto"/>
              <w:jc w:val="left"/>
            </w:pPr>
            <w:r>
              <w:rPr>
                <w:rFonts w:eastAsia="Arial" w:cs="Arial"/>
              </w:rPr>
              <w:t>xai_summary.json</w:t>
            </w:r>
          </w:p>
        </w:tc>
        <w:tc>
          <w:tcPr>
            <w:tcW w:w="3969" w:type="dxa"/>
            <w:shd w:val="clear" w:color="auto" w:fill="FFFFFF"/>
            <w:tcMar>
              <w:top w:w="100" w:type="dxa"/>
              <w:left w:w="110" w:type="dxa"/>
              <w:bottom w:w="100" w:type="dxa"/>
              <w:right w:w="110" w:type="dxa"/>
            </w:tcMar>
            <w:vAlign w:val="center"/>
          </w:tcPr>
          <w:p w14:paraId="763E23A1" w14:textId="77777777" w:rsidR="00D73286" w:rsidRDefault="003405A5">
            <w:pPr>
              <w:spacing w:after="40" w:line="240" w:lineRule="auto"/>
              <w:jc w:val="left"/>
            </w:pPr>
            <w:r>
              <w:rPr>
                <w:rFonts w:eastAsia="Arial" w:cs="Arial"/>
              </w:rPr>
              <w:t>Records explanation-sample details and reproducibility metadata.</w:t>
            </w:r>
          </w:p>
        </w:tc>
      </w:tr>
      <w:tr w:rsidR="00D73286" w14:paraId="3AC6947C" w14:textId="77777777">
        <w:trPr>
          <w:cantSplit/>
        </w:trPr>
        <w:tc>
          <w:tcPr>
            <w:tcW w:w="2268" w:type="dxa"/>
            <w:shd w:val="clear" w:color="auto" w:fill="F2F6FA"/>
            <w:tcMar>
              <w:top w:w="100" w:type="dxa"/>
              <w:left w:w="110" w:type="dxa"/>
              <w:bottom w:w="100" w:type="dxa"/>
              <w:right w:w="110" w:type="dxa"/>
            </w:tcMar>
            <w:vAlign w:val="center"/>
          </w:tcPr>
          <w:p w14:paraId="4C526680" w14:textId="77777777" w:rsidR="00D73286" w:rsidRDefault="003405A5">
            <w:pPr>
              <w:spacing w:after="40" w:line="240" w:lineRule="auto"/>
              <w:jc w:val="left"/>
            </w:pPr>
            <w:r>
              <w:rPr>
                <w:rFonts w:eastAsia="Arial" w:cs="Arial"/>
              </w:rPr>
              <w:lastRenderedPageBreak/>
              <w:t>Research figures</w:t>
            </w:r>
          </w:p>
        </w:tc>
        <w:tc>
          <w:tcPr>
            <w:tcW w:w="3118" w:type="dxa"/>
            <w:shd w:val="clear" w:color="auto" w:fill="F2F6FA"/>
            <w:tcMar>
              <w:top w:w="100" w:type="dxa"/>
              <w:left w:w="110" w:type="dxa"/>
              <w:bottom w:w="100" w:type="dxa"/>
              <w:right w:w="110" w:type="dxa"/>
            </w:tcMar>
            <w:vAlign w:val="center"/>
          </w:tcPr>
          <w:p w14:paraId="10331E5C" w14:textId="77777777" w:rsidR="00D73286" w:rsidRDefault="003405A5">
            <w:pPr>
              <w:spacing w:after="40" w:line="240" w:lineRule="auto"/>
              <w:jc w:val="left"/>
            </w:pPr>
            <w:r>
              <w:rPr>
                <w:rFonts w:eastAsia="Arial" w:cs="Arial"/>
              </w:rPr>
              <w:t>figure_1_class_distribution.png; figure_2_model_performance.png; figure_3_shap_global_importance.png; figure_4_lime_true_positive.png</w:t>
            </w:r>
          </w:p>
        </w:tc>
        <w:tc>
          <w:tcPr>
            <w:tcW w:w="3969" w:type="dxa"/>
            <w:shd w:val="clear" w:color="auto" w:fill="F2F6FA"/>
            <w:tcMar>
              <w:top w:w="100" w:type="dxa"/>
              <w:left w:w="110" w:type="dxa"/>
              <w:bottom w:w="100" w:type="dxa"/>
              <w:right w:w="110" w:type="dxa"/>
            </w:tcMar>
            <w:vAlign w:val="center"/>
          </w:tcPr>
          <w:p w14:paraId="14206B71" w14:textId="77777777" w:rsidR="00D73286" w:rsidRDefault="003405A5">
            <w:pPr>
              <w:spacing w:after="40" w:line="240" w:lineRule="auto"/>
              <w:jc w:val="left"/>
            </w:pPr>
            <w:r>
              <w:rPr>
                <w:rFonts w:eastAsia="Arial" w:cs="Arial"/>
              </w:rPr>
              <w:t>Provides the visual outputs used to communicate class imbalance, comparative performance and explainability.</w:t>
            </w:r>
          </w:p>
        </w:tc>
      </w:tr>
    </w:tbl>
    <w:p w14:paraId="6F3B28FE" w14:textId="77777777" w:rsidR="003405A5" w:rsidRDefault="003405A5"/>
    <w:sectPr w:rsidR="003405A5" w:rsidSect="00034616">
      <w:headerReference w:type="default" r:id="rId29"/>
      <w:footerReference w:type="default" r:id="rId30"/>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4E86" w14:textId="77777777" w:rsidR="00597736" w:rsidRDefault="00597736">
      <w:pPr>
        <w:spacing w:after="0" w:line="240" w:lineRule="auto"/>
      </w:pPr>
      <w:r>
        <w:separator/>
      </w:r>
    </w:p>
  </w:endnote>
  <w:endnote w:type="continuationSeparator" w:id="0">
    <w:p w14:paraId="20950204" w14:textId="77777777" w:rsidR="00597736" w:rsidRDefault="00597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ED39" w14:textId="77777777" w:rsidR="000B6781" w:rsidRDefault="00AE213B">
    <w:pPr>
      <w:pStyle w:val="Footer"/>
      <w:jc w:val="center"/>
    </w:pPr>
    <w:r>
      <w:rPr>
        <w:color w:val="64748B"/>
        <w:sz w:val="17"/>
      </w:rPr>
      <w:t xml:space="preserve">Siyabonga Masethabe Londani Mfusi | ST10295312 | Page </w:t>
    </w:r>
    <w:r>
      <w:rPr>
        <w:color w:val="64748B"/>
        <w:sz w:val="17"/>
      </w:rPr>
      <w:fldChar w:fldCharType="begin"/>
    </w:r>
    <w:r>
      <w:rPr>
        <w:color w:val="64748B"/>
        <w:sz w:val="17"/>
      </w:rPr>
      <w:instrText xml:space="preserve"> PAGE </w:instrText>
    </w:r>
    <w:r>
      <w:rPr>
        <w:color w:val="64748B"/>
        <w:sz w:val="17"/>
      </w:rPr>
      <w:fldChar w:fldCharType="separate"/>
    </w:r>
    <w:r w:rsidR="00280A82">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BB2E2" w14:textId="77777777" w:rsidR="00597736" w:rsidRDefault="00597736">
      <w:pPr>
        <w:spacing w:after="0" w:line="240" w:lineRule="auto"/>
      </w:pPr>
      <w:r>
        <w:separator/>
      </w:r>
    </w:p>
  </w:footnote>
  <w:footnote w:type="continuationSeparator" w:id="0">
    <w:p w14:paraId="7F51144F" w14:textId="77777777" w:rsidR="00597736" w:rsidRDefault="00597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89BB" w14:textId="77777777" w:rsidR="000B6781" w:rsidRDefault="00AE213B">
    <w:pPr>
      <w:pStyle w:val="Header"/>
      <w:jc w:val="right"/>
    </w:pPr>
    <w:r>
      <w:rPr>
        <w:color w:val="64748B"/>
        <w:sz w:val="17"/>
      </w:rPr>
      <w:t>Research Project RPDA8412 | Final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82814"/>
    <w:multiLevelType w:val="hybridMultilevel"/>
    <w:tmpl w:val="82C07E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64C4ACB"/>
    <w:multiLevelType w:val="hybridMultilevel"/>
    <w:tmpl w:val="FFECB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0BA14D30"/>
    <w:multiLevelType w:val="hybridMultilevel"/>
    <w:tmpl w:val="20DCE0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00D4471"/>
    <w:multiLevelType w:val="hybridMultilevel"/>
    <w:tmpl w:val="B3F67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3B2238B"/>
    <w:multiLevelType w:val="hybridMultilevel"/>
    <w:tmpl w:val="82A804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DE02DBA"/>
    <w:multiLevelType w:val="hybridMultilevel"/>
    <w:tmpl w:val="02B40C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6C26E8A"/>
    <w:multiLevelType w:val="hybridMultilevel"/>
    <w:tmpl w:val="E2BCD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8215EB8"/>
    <w:multiLevelType w:val="hybridMultilevel"/>
    <w:tmpl w:val="1C4AB2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4571FD8"/>
    <w:multiLevelType w:val="hybridMultilevel"/>
    <w:tmpl w:val="D3982B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73355D3"/>
    <w:multiLevelType w:val="hybridMultilevel"/>
    <w:tmpl w:val="AA8AF1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7CF3DD2"/>
    <w:multiLevelType w:val="hybridMultilevel"/>
    <w:tmpl w:val="E55A4C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F4578D7"/>
    <w:multiLevelType w:val="hybridMultilevel"/>
    <w:tmpl w:val="3A1817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31D708C"/>
    <w:multiLevelType w:val="hybridMultilevel"/>
    <w:tmpl w:val="D9C4F4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BB526A5"/>
    <w:multiLevelType w:val="hybridMultilevel"/>
    <w:tmpl w:val="8500B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41803686">
    <w:abstractNumId w:val="8"/>
  </w:num>
  <w:num w:numId="2" w16cid:durableId="1166364855">
    <w:abstractNumId w:val="6"/>
  </w:num>
  <w:num w:numId="3" w16cid:durableId="819007926">
    <w:abstractNumId w:val="5"/>
  </w:num>
  <w:num w:numId="4" w16cid:durableId="2136216754">
    <w:abstractNumId w:val="4"/>
  </w:num>
  <w:num w:numId="5" w16cid:durableId="804741535">
    <w:abstractNumId w:val="7"/>
  </w:num>
  <w:num w:numId="6" w16cid:durableId="900947560">
    <w:abstractNumId w:val="3"/>
  </w:num>
  <w:num w:numId="7" w16cid:durableId="1541017343">
    <w:abstractNumId w:val="2"/>
  </w:num>
  <w:num w:numId="8" w16cid:durableId="1828591316">
    <w:abstractNumId w:val="1"/>
  </w:num>
  <w:num w:numId="9" w16cid:durableId="713310287">
    <w:abstractNumId w:val="0"/>
  </w:num>
  <w:num w:numId="10" w16cid:durableId="1078751843">
    <w:abstractNumId w:val="10"/>
  </w:num>
  <w:num w:numId="11" w16cid:durableId="128481198">
    <w:abstractNumId w:val="14"/>
  </w:num>
  <w:num w:numId="12" w16cid:durableId="87236472">
    <w:abstractNumId w:val="22"/>
  </w:num>
  <w:num w:numId="13" w16cid:durableId="372047957">
    <w:abstractNumId w:val="19"/>
  </w:num>
  <w:num w:numId="14" w16cid:durableId="1412657564">
    <w:abstractNumId w:val="15"/>
  </w:num>
  <w:num w:numId="15" w16cid:durableId="1605721005">
    <w:abstractNumId w:val="16"/>
  </w:num>
  <w:num w:numId="16" w16cid:durableId="1358316694">
    <w:abstractNumId w:val="9"/>
  </w:num>
  <w:num w:numId="17" w16cid:durableId="2025476395">
    <w:abstractNumId w:val="13"/>
  </w:num>
  <w:num w:numId="18" w16cid:durableId="1423836492">
    <w:abstractNumId w:val="17"/>
  </w:num>
  <w:num w:numId="19" w16cid:durableId="1141506637">
    <w:abstractNumId w:val="21"/>
  </w:num>
  <w:num w:numId="20" w16cid:durableId="694188843">
    <w:abstractNumId w:val="18"/>
  </w:num>
  <w:num w:numId="21" w16cid:durableId="255135430">
    <w:abstractNumId w:val="20"/>
  </w:num>
  <w:num w:numId="22" w16cid:durableId="650527441">
    <w:abstractNumId w:val="12"/>
  </w:num>
  <w:num w:numId="23" w16cid:durableId="1520704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81"/>
    <w:rsid w:val="000D14A6"/>
    <w:rsid w:val="001179AD"/>
    <w:rsid w:val="0015074B"/>
    <w:rsid w:val="00280A82"/>
    <w:rsid w:val="00280D12"/>
    <w:rsid w:val="002919B6"/>
    <w:rsid w:val="0029639D"/>
    <w:rsid w:val="002A6792"/>
    <w:rsid w:val="00326F90"/>
    <w:rsid w:val="003405A5"/>
    <w:rsid w:val="00375586"/>
    <w:rsid w:val="00393DFF"/>
    <w:rsid w:val="004C76DF"/>
    <w:rsid w:val="004E24AF"/>
    <w:rsid w:val="0050692A"/>
    <w:rsid w:val="00512946"/>
    <w:rsid w:val="005945AA"/>
    <w:rsid w:val="005957A7"/>
    <w:rsid w:val="0059721B"/>
    <w:rsid w:val="00597736"/>
    <w:rsid w:val="005E7C3D"/>
    <w:rsid w:val="00663C46"/>
    <w:rsid w:val="00680932"/>
    <w:rsid w:val="006C6658"/>
    <w:rsid w:val="0070366D"/>
    <w:rsid w:val="00757FB5"/>
    <w:rsid w:val="00792324"/>
    <w:rsid w:val="007A186C"/>
    <w:rsid w:val="007C28E0"/>
    <w:rsid w:val="007F1E36"/>
    <w:rsid w:val="00A30D37"/>
    <w:rsid w:val="00A567DE"/>
    <w:rsid w:val="00AA1D8D"/>
    <w:rsid w:val="00AE213B"/>
    <w:rsid w:val="00B47730"/>
    <w:rsid w:val="00BF7046"/>
    <w:rsid w:val="00CB0664"/>
    <w:rsid w:val="00CB0EEC"/>
    <w:rsid w:val="00CB1295"/>
    <w:rsid w:val="00D35834"/>
    <w:rsid w:val="00D70527"/>
    <w:rsid w:val="00D73286"/>
    <w:rsid w:val="00DC6F1B"/>
    <w:rsid w:val="00DF4816"/>
    <w:rsid w:val="00E77EE6"/>
    <w:rsid w:val="00EF4793"/>
    <w:rsid w:val="00FC3C46"/>
    <w:rsid w:val="00FC693F"/>
    <w:rsid w:val="00FD0B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912E6"/>
  <w14:defaultImageDpi w14:val="300"/>
  <w15:docId w15:val="{A531656E-7960-4600-846F-56DB6FA4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240" w:line="276" w:lineRule="auto"/>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line="276"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40" w:after="60" w:line="276" w:lineRule="auto"/>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6792"/>
    <w:rPr>
      <w:color w:val="0000FF" w:themeColor="hyperlink"/>
      <w:u w:val="single"/>
    </w:rPr>
  </w:style>
  <w:style w:type="character" w:styleId="UnresolvedMention">
    <w:name w:val="Unresolved Mention"/>
    <w:basedOn w:val="DefaultParagraphFont"/>
    <w:uiPriority w:val="99"/>
    <w:semiHidden/>
    <w:unhideWhenUsed/>
    <w:rsid w:val="002A6792"/>
    <w:rPr>
      <w:color w:val="605E5C"/>
      <w:shd w:val="clear" w:color="auto" w:fill="E1DFDD"/>
    </w:rPr>
  </w:style>
  <w:style w:type="character" w:styleId="CommentReference">
    <w:name w:val="annotation reference"/>
    <w:basedOn w:val="DefaultParagraphFont"/>
    <w:uiPriority w:val="99"/>
    <w:semiHidden/>
    <w:unhideWhenUsed/>
    <w:rsid w:val="005957A7"/>
    <w:rPr>
      <w:sz w:val="16"/>
      <w:szCs w:val="16"/>
    </w:rPr>
  </w:style>
  <w:style w:type="paragraph" w:styleId="CommentText">
    <w:name w:val="annotation text"/>
    <w:basedOn w:val="Normal"/>
    <w:link w:val="CommentTextChar"/>
    <w:uiPriority w:val="99"/>
    <w:unhideWhenUsed/>
    <w:rsid w:val="005957A7"/>
    <w:pPr>
      <w:spacing w:line="240" w:lineRule="auto"/>
    </w:pPr>
    <w:rPr>
      <w:sz w:val="20"/>
      <w:szCs w:val="20"/>
    </w:rPr>
  </w:style>
  <w:style w:type="character" w:customStyle="1" w:styleId="CommentTextChar">
    <w:name w:val="Comment Text Char"/>
    <w:basedOn w:val="DefaultParagraphFont"/>
    <w:link w:val="CommentText"/>
    <w:uiPriority w:val="99"/>
    <w:rsid w:val="005957A7"/>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5957A7"/>
    <w:rPr>
      <w:b/>
      <w:bCs/>
    </w:rPr>
  </w:style>
  <w:style w:type="character" w:customStyle="1" w:styleId="CommentSubjectChar">
    <w:name w:val="Comment Subject Char"/>
    <w:basedOn w:val="CommentTextChar"/>
    <w:link w:val="CommentSubject"/>
    <w:uiPriority w:val="99"/>
    <w:semiHidden/>
    <w:rsid w:val="005957A7"/>
    <w:rPr>
      <w:rFonts w:ascii="Calibri" w:hAnsi="Calibri"/>
      <w:b/>
      <w:bCs/>
      <w:color w:val="000000"/>
      <w:sz w:val="20"/>
      <w:szCs w:val="20"/>
    </w:rPr>
  </w:style>
  <w:style w:type="paragraph" w:styleId="Revision">
    <w:name w:val="Revision"/>
    <w:hidden/>
    <w:uiPriority w:val="99"/>
    <w:semiHidden/>
    <w:rsid w:val="005957A7"/>
    <w:pPr>
      <w:spacing w:after="0" w:line="240" w:lineRule="auto"/>
    </w:pPr>
    <w:rPr>
      <w:rFonts w:ascii="Calibri" w:hAnsi="Calibri"/>
      <w:color w:val="000000"/>
      <w:sz w:val="21"/>
    </w:rPr>
  </w:style>
  <w:style w:type="paragraph" w:styleId="TOC1">
    <w:name w:val="toc 1"/>
    <w:basedOn w:val="Normal"/>
    <w:next w:val="Normal"/>
    <w:autoRedefine/>
    <w:uiPriority w:val="39"/>
    <w:unhideWhenUsed/>
    <w:rsid w:val="00DC6F1B"/>
    <w:pPr>
      <w:spacing w:after="100"/>
    </w:pPr>
  </w:style>
  <w:style w:type="paragraph" w:styleId="TOC2">
    <w:name w:val="toc 2"/>
    <w:basedOn w:val="Normal"/>
    <w:next w:val="Normal"/>
    <w:autoRedefine/>
    <w:uiPriority w:val="39"/>
    <w:unhideWhenUsed/>
    <w:rsid w:val="00DC6F1B"/>
    <w:pPr>
      <w:spacing w:after="100"/>
      <w:ind w:left="210"/>
    </w:pPr>
  </w:style>
  <w:style w:type="paragraph" w:styleId="TOC3">
    <w:name w:val="toc 3"/>
    <w:basedOn w:val="Normal"/>
    <w:next w:val="Normal"/>
    <w:autoRedefine/>
    <w:uiPriority w:val="39"/>
    <w:unhideWhenUsed/>
    <w:rsid w:val="00DC6F1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613/jair.953" TargetMode="External"/><Relationship Id="rId18" Type="http://schemas.openxmlformats.org/officeDocument/2006/relationships/hyperlink" Target="https://doi.org/10.3390/bdcc8010006" TargetMode="External"/><Relationship Id="rId26" Type="http://schemas.openxmlformats.org/officeDocument/2006/relationships/hyperlink" Target="https://doi.org/10.1007/s10462-026-11516-7" TargetMode="External"/><Relationship Id="rId3" Type="http://schemas.openxmlformats.org/officeDocument/2006/relationships/styles" Target="styles.xml"/><Relationship Id="rId21" Type="http://schemas.openxmlformats.org/officeDocument/2006/relationships/hyperlink" Target="https://doi.org/10.1109/MC.2021.3081249" TargetMode="External"/><Relationship Id="rId7" Type="http://schemas.openxmlformats.org/officeDocument/2006/relationships/endnotes" Target="endnotes.xml"/><Relationship Id="rId12" Type="http://schemas.openxmlformats.org/officeDocument/2006/relationships/hyperlink" Target="https://doi.org/10.1214/ss/1042727940" TargetMode="External"/><Relationship Id="rId17" Type="http://schemas.openxmlformats.org/officeDocument/2006/relationships/hyperlink" Target="https://www.kaggle.com/datasets/mlg-ulb/creditcardfraud" TargetMode="External"/><Relationship Id="rId25" Type="http://schemas.openxmlformats.org/officeDocument/2006/relationships/hyperlink" Target="https://doi.org/10.1007/s11301-023-00320-0" TargetMode="External"/><Relationship Id="rId2" Type="http://schemas.openxmlformats.org/officeDocument/2006/relationships/numbering" Target="numbering.xml"/><Relationship Id="rId16" Type="http://schemas.openxmlformats.org/officeDocument/2006/relationships/hyperlink" Target="https://imbalanced-learn.org/dev/common_pitfalls.html" TargetMode="External"/><Relationship Id="rId20" Type="http://schemas.openxmlformats.org/officeDocument/2006/relationships/hyperlink" Target="https://doi.org/10.3390/info15060298"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jrfm18040179" TargetMode="External"/><Relationship Id="rId24" Type="http://schemas.openxmlformats.org/officeDocument/2006/relationships/hyperlink" Target="https://doi.org/10.1371/journal.pone.011843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978-0-387-84858-7" TargetMode="External"/><Relationship Id="rId23" Type="http://schemas.openxmlformats.org/officeDocument/2006/relationships/hyperlink" Target="https://doi.org/10.1145/2939672.2939778" TargetMode="External"/><Relationship Id="rId28" Type="http://schemas.openxmlformats.org/officeDocument/2006/relationships/hyperlink" Target="https://github.com/Siya990808/rpda8412-fraud-detection-xai" TargetMode="External"/><Relationship Id="rId10" Type="http://schemas.openxmlformats.org/officeDocument/2006/relationships/image" Target="media/image3.png"/><Relationship Id="rId19" Type="http://schemas.openxmlformats.org/officeDocument/2006/relationships/hyperlink" Target="https://proceedings.neurips.cc/paper/7062-a-unified-approach-to-interpreting-model-prediction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ksuci.2022.11.008" TargetMode="External"/><Relationship Id="rId22" Type="http://schemas.openxmlformats.org/officeDocument/2006/relationships/hyperlink" Target="https://www.justice.gov.za/legislation/acts/2013-004.pdf" TargetMode="External"/><Relationship Id="rId27" Type="http://schemas.openxmlformats.org/officeDocument/2006/relationships/image" Target="media/image4.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58</Pages>
  <Words>17472</Words>
  <Characters>99597</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Explainable Machine Learning for Fraud Detection in the South African Financial Sector</vt:lpstr>
    </vt:vector>
  </TitlesOfParts>
  <Manager/>
  <Company/>
  <LinksUpToDate>false</LinksUpToDate>
  <CharactersWithSpaces>116836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Machine Learning for Fraud Detection in the South African Financial Sector</dc:title>
  <dc:subject>Expanded final research report for Research Project RPDA8412</dc:subject>
  <dc:creator>Siyabonga Masethabe Londani Mfusi</dc:creator>
  <cp:keywords>fraud detection, machine learning, Random Forest, SHAP, LIME, South Africa, POPIA</cp:keywords>
  <dc:description>generated by python-docx</dc:description>
  <cp:lastModifiedBy>Siyabonga Mfusi</cp:lastModifiedBy>
  <cp:revision>7</cp:revision>
  <dcterms:created xsi:type="dcterms:W3CDTF">2026-10-07T14:54:00Z</dcterms:created>
  <dcterms:modified xsi:type="dcterms:W3CDTF">2026-10-29T15:43:00Z</dcterms:modified>
  <cp:category/>
</cp:coreProperties>
</file>