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00000"/>
          <w:sz w:val="32"/>
          <w:szCs w:val="32"/>
        </w:rPr>
        <w:t xml:space="preserve">Why the 2000 and 2006 Election Data Were Added Later</w:t>
      </w:r>
    </w:p>
    <w:p>
      <w:pPr>
        <w:spacing w:after="320"/>
        <w:jc w:val="center"/>
      </w:pPr>
      <w:r>
        <w:rPr>
          <w:i/>
          <w:iCs/>
          <w:color w:val="000000"/>
          <w:sz w:val="20"/>
          <w:szCs w:val="20"/>
        </w:rPr>
        <w:t xml:space="preserve">And what that work uncovered about ward boundary stability across the whole 2000-2021 range</w:t>
      </w:r>
    </w:p>
    <w:p>
      <w:pPr>
        <w:pStyle w:val="Heading1"/>
        <w:spacing w:after="160" w:before="320"/>
      </w:pPr>
      <w:r>
        <w:rPr>
          <w:b/>
          <w:bCs/>
          <w:color w:val="000000"/>
          <w:sz w:val="28"/>
          <w:szCs w:val="28"/>
        </w:rPr>
        <w:t xml:space="preserve">Timeline, stated plainly</w:t>
      </w:r>
    </w:p>
    <w:p>
      <w:pPr>
        <w:spacing w:after="160"/>
      </w:pPr>
      <w:r>
        <w:rPr>
          <w:b w:val="false"/>
          <w:bCs w:val="false"/>
          <w:i w:val="false"/>
          <w:iCs w:val="false"/>
          <w:color w:val="000000"/>
          <w:sz w:val="22"/>
          <w:szCs w:val="22"/>
        </w:rPr>
        <w:t xml:space="preserve">Cleaning, merging, feature engineering, and a first round of modeling were already completed using three election years: 2011, 2016, and 2021. Two additional national Local Government Election result files, covering 2000 and 2006, were located afterwards. Rather than discard them, or quietly insert them as if they had been part of the project from the start, they were brought in through the same pipeline stages already established for this project: raw, cleaning, merging, and from there back into feature engineering and modeling. This document explains that process and what it changed.</w:t>
      </w:r>
    </w:p>
    <w:p>
      <w:pPr>
        <w:pStyle w:val="Heading1"/>
        <w:spacing w:after="160" w:before="320"/>
      </w:pPr>
      <w:r>
        <w:rPr>
          <w:b/>
          <w:bCs/>
          <w:color w:val="000000"/>
          <w:sz w:val="28"/>
          <w:szCs w:val="28"/>
        </w:rPr>
        <w:t xml:space="preserve">What we expected to do</w:t>
      </w:r>
    </w:p>
    <w:p>
      <w:pPr>
        <w:spacing w:after="160"/>
      </w:pPr>
      <w:r>
        <w:rPr>
          <w:b w:val="false"/>
          <w:bCs w:val="false"/>
          <w:i w:val="false"/>
          <w:iCs w:val="false"/>
          <w:color w:val="000000"/>
          <w:sz w:val="22"/>
          <w:szCs w:val="22"/>
        </w:rPr>
        <w:t xml:space="preserve">The plan was straightforward: filter the two new files to KwaZulu-Natal, clean them the same way the earlier election files were cleaned, aggregate them to one row per ward per year, and stack them onto the existing 2011-2021 panel, extending it back to five elections instead of three.</w:t>
      </w:r>
    </w:p>
    <w:p>
      <w:pPr>
        <w:pStyle w:val="Heading1"/>
        <w:spacing w:after="160" w:before="320"/>
      </w:pPr>
      <w:r>
        <w:rPr>
          <w:b/>
          <w:bCs/>
          <w:color w:val="000000"/>
          <w:sz w:val="28"/>
          <w:szCs w:val="28"/>
        </w:rPr>
        <w:t xml:space="preserve">What we found instead</w:t>
      </w:r>
    </w:p>
    <w:p>
      <w:pPr>
        <w:spacing w:after="160"/>
      </w:pPr>
      <w:r>
        <w:rPr>
          <w:b w:val="false"/>
          <w:bCs w:val="false"/>
          <w:i w:val="false"/>
          <w:iCs w:val="false"/>
          <w:color w:val="000000"/>
          <w:sz w:val="22"/>
          <w:szCs w:val="22"/>
        </w:rPr>
        <w:t xml:space="preserve">While preparing to line up ward numbers across the two new years and the existing three, we tested something that had previously only been logged as a general concern: whether a ward number in one election year reliably refers to the same physical area in another. We picked a single polling station and traced its recorded ward number across all five years. It was ward 59200001 in both 2000 and 2006, then became ward 59500001 from 2011 onward. The physical station never moved. Its ward number did.</w:t>
      </w:r>
    </w:p>
    <w:p>
      <w:pPr>
        <w:spacing w:after="160"/>
      </w:pPr>
      <w:r>
        <w:rPr>
          <w:b w:val="false"/>
          <w:bCs w:val="false"/>
          <w:i w:val="false"/>
          <w:iCs w:val="false"/>
          <w:color w:val="000000"/>
          <w:sz w:val="22"/>
          <w:szCs w:val="22"/>
        </w:rPr>
        <w:t xml:space="preserve">We then checked this systematically rather than relying on one example. Comparing every voting district present in both the 2011 file and the 2021 file, roughly a third were recorded under a different ward number in 2011 than in 2021. The 2016-to-2021 comparison showed a smaller but still meaningful mismatch. This meant the ward-boundary concern was not just a historical issue affecting the older 2000 and 2006 data, it was already present within the 2011-2021 range the model had already been trained on.</w:t>
      </w:r>
    </w:p>
    <w:p>
      <w:pPr>
        <w:pStyle w:val="Heading1"/>
        <w:spacing w:after="160" w:before="320"/>
      </w:pPr>
      <w:r>
        <w:rPr>
          <w:b/>
          <w:bCs/>
          <w:color w:val="000000"/>
          <w:sz w:val="28"/>
          <w:szCs w:val="28"/>
        </w:rPr>
        <w:t xml:space="preserve">The decision we made</w:t>
      </w:r>
    </w:p>
    <w:p>
      <w:pPr>
        <w:spacing w:after="160"/>
      </w:pPr>
      <w:r>
        <w:rPr>
          <w:b w:val="false"/>
          <w:bCs w:val="false"/>
          <w:i w:val="false"/>
          <w:iCs w:val="false"/>
          <w:color w:val="000000"/>
          <w:sz w:val="22"/>
          <w:szCs w:val="22"/>
        </w:rPr>
        <w:t xml:space="preserve">We could have left this as a documented limitation and moved on, since that would have been defensible. We chose instead to correct for it. We built a crosswalk using each election's voting district, a physical polling location that does not get renumbered the way a ward boundary does, matched against the most recent election, 2021, as the reference ward numbering. Every earlier election's results were then re-expressed in terms of that same reference ward, rather than trusting the raw ward number printed in that year's own file.</w:t>
      </w:r>
    </w:p>
    <w:p>
      <w:pPr>
        <w:spacing w:after="160"/>
      </w:pPr>
      <w:r>
        <w:rPr>
          <w:b w:val="false"/>
          <w:bCs w:val="false"/>
          <w:i w:val="false"/>
          <w:iCs w:val="false"/>
          <w:color w:val="000000"/>
          <w:sz w:val="22"/>
          <w:szCs w:val="22"/>
        </w:rPr>
        <w:t xml:space="preserve">This crosswalk successfully matched voting districts to a 2021 reference ward in the large majority of cases across every year checked, with unmapped stations in the low single digits as a percentage in every year except 2000, where it was still under four percent. Applying this crosswalk across all five elections, 863 of 901 reference wards, just under ninety-six percent, now have complete, comparable turnout history across 2000, 2006, 2011, 2016, and 2021.</w:t>
      </w:r>
    </w:p>
    <w:p>
      <w:pPr>
        <w:pStyle w:val="Heading1"/>
        <w:spacing w:after="160" w:before="320"/>
      </w:pPr>
      <w:r>
        <w:rPr>
          <w:b/>
          <w:bCs/>
          <w:color w:val="000000"/>
          <w:sz w:val="28"/>
          <w:szCs w:val="28"/>
        </w:rPr>
        <w:t xml:space="preserve">A second correction made along the way</w:t>
      </w:r>
    </w:p>
    <w:p>
      <w:pPr>
        <w:spacing w:after="160"/>
      </w:pPr>
      <w:r>
        <w:rPr>
          <w:b w:val="false"/>
          <w:bCs w:val="false"/>
          <w:i w:val="false"/>
          <w:iCs w:val="false"/>
          <w:color w:val="000000"/>
          <w:sz w:val="22"/>
          <w:szCs w:val="22"/>
        </w:rPr>
        <w:t xml:space="preserve">While rebuilding the 2011, 2016, and 2021 aggregation to use the crosswalk, we also confirmed that turnout must be calculated from a single ballot type. Each voter casts two ballots in a South African local government election, a proportional representation ballot and a ward ballot. Summing valid votes across both, rather than using one consistently, would double count votes cast. We used the proportional representation ballot consistently across all five years, since it is present in every year's data and is the standard ballot used for reporting turnout.</w:t>
      </w:r>
    </w:p>
    <w:p>
      <w:pPr>
        <w:pStyle w:val="Heading1"/>
        <w:spacing w:after="160" w:before="320"/>
      </w:pPr>
      <w:r>
        <w:rPr>
          <w:b/>
          <w:bCs/>
          <w:color w:val="000000"/>
          <w:sz w:val="28"/>
          <w:szCs w:val="28"/>
        </w:rPr>
        <w:t xml:space="preserve">What this means for the model already built</w:t>
      </w:r>
    </w:p>
    <w:p>
      <w:pPr>
        <w:spacing w:after="160"/>
      </w:pPr>
      <w:r>
        <w:rPr>
          <w:b w:val="false"/>
          <w:bCs w:val="false"/>
          <w:i w:val="false"/>
          <w:iCs w:val="false"/>
          <w:color w:val="000000"/>
          <w:sz w:val="22"/>
          <w:szCs w:val="22"/>
        </w:rPr>
        <w:t xml:space="preserve">The original model was trained using PreviousTurnout values built from ward numbers matched directly year to year, without this crosswalk correction. Given that roughly a third of wards showed a numbering mismatch between 2011 and 2021 alone, some of those PreviousTurnout values were likely comparing different physical areas without that being visible in the data at the time. This is not a claim that the original model's result was wrong, its baseline comparison and Random Forest result remain valid numbers for what was tested, but it is a reason to re-run feature engineering and modeling on the corrected panel before treating the current result as final.</w:t>
      </w:r>
    </w:p>
    <w:p>
      <w:pPr>
        <w:pStyle w:val="Heading1"/>
        <w:spacing w:after="160" w:before="320"/>
      </w:pPr>
      <w:r>
        <w:rPr>
          <w:b/>
          <w:bCs/>
          <w:color w:val="000000"/>
          <w:sz w:val="28"/>
          <w:szCs w:val="28"/>
        </w:rPr>
        <w:t xml:space="preserve">What is being handed over</w:t>
      </w:r>
    </w:p>
    <w:p>
      <w:pPr>
        <w:spacing w:after="160"/>
      </w:pPr>
      <w:r>
        <w:rPr>
          <w:b w:val="false"/>
          <w:bCs w:val="false"/>
          <w:i w:val="false"/>
          <w:iCs w:val="false"/>
          <w:color w:val="000000"/>
          <w:sz w:val="22"/>
          <w:szCs w:val="22"/>
        </w:rPr>
        <w:t xml:space="preserve">Two cleaned datasets, KZN 2000 and KZN 2006, filtered to KwaZulu-Natal and cleaned to the same standard as the existing election files. A standalone crosswalk table linking every voting district to its 2021 reference ward. A combined five-election ward panel, 2000 through 2021, built using that crosswalk and the corrected single-ballot-type turnout calculation. Two notebooks, one for the cleaning step and one for the crosswalk and extended panel, both following the same one-notebook-per-stage structure already used throughout this project.</w:t>
      </w:r>
    </w:p>
    <w:p>
      <w:pPr>
        <w:pStyle w:val="Heading1"/>
        <w:spacing w:after="160" w:before="320"/>
      </w:pPr>
      <w:r>
        <w:rPr>
          <w:b/>
          <w:bCs/>
          <w:color w:val="000000"/>
          <w:sz w:val="28"/>
          <w:szCs w:val="28"/>
        </w:rPr>
        <w:t xml:space="preserve">What happens next</w:t>
      </w:r>
    </w:p>
    <w:p>
      <w:pPr>
        <w:spacing w:after="160"/>
      </w:pPr>
      <w:r>
        <w:rPr>
          <w:b w:val="false"/>
          <w:bCs w:val="false"/>
          <w:i w:val="false"/>
          <w:iCs w:val="false"/>
          <w:color w:val="000000"/>
          <w:sz w:val="22"/>
          <w:szCs w:val="22"/>
        </w:rPr>
        <w:t xml:space="preserve">This does not replace the existing 2011-2021 panel outright. Both now exist side by side, so the team can decide together whether to move feature engineering and modeling over to the corrected, extended panel. Doing so would mean re-running PreviousTurnout, RegisteredVotersChange, RegistrationGrowth, and the baseline calculation on top of the corrected ward identities, and retraining the model to see whether either the boundary correction, the additional two elections, or both, change its performance against the baseline. That comparison, done properly, is what will let the problem statement be revised with an actually provable, evidence-backed claim about how much history and how much correction genuinely improve ward-level turnout prediction, rather than an assumed 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2026-09-26T14:17:31.454Z</dcterms:created>
  <dcterms:modified xsi:type="dcterms:W3CDTF">2026-09-26T14:17:31.462Z</dcterms:modified>
</cp:coreProperties>
</file>

<file path=docProps/custom.xml><?xml version="1.0" encoding="utf-8"?>
<Properties xmlns="http://schemas.openxmlformats.org/officeDocument/2006/custom-properties" xmlns:vt="http://schemas.openxmlformats.org/officeDocument/2006/docPropsVTypes"/>
</file>