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12B8" w:rsidRPr="008112B8" w:rsidRDefault="008112B8" w:rsidP="008112B8">
      <w:bookmarkStart w:id="0" w:name="_GoBack"/>
    </w:p>
    <w:p w:rsidR="008112B8" w:rsidRPr="008112B8" w:rsidRDefault="008112B8" w:rsidP="008112B8">
      <w:pPr>
        <w:pStyle w:val="Heading1"/>
        <w:spacing w:before="0" w:beforeAutospacing="0" w:after="120" w:afterAutospacing="0"/>
        <w:rPr>
          <w:rFonts w:asciiTheme="minorHAnsi" w:hAnsiTheme="minorHAnsi"/>
        </w:rPr>
      </w:pPr>
      <w:proofErr w:type="spellStart"/>
      <w:r w:rsidRPr="008112B8">
        <w:rPr>
          <w:rFonts w:asciiTheme="minorHAnsi" w:hAnsiTheme="minorHAnsi"/>
          <w:color w:val="1F1F1F"/>
        </w:rPr>
        <w:t>ReachHub</w:t>
      </w:r>
      <w:proofErr w:type="spellEnd"/>
      <w:r w:rsidRPr="008112B8">
        <w:rPr>
          <w:rFonts w:asciiTheme="minorHAnsi" w:hAnsiTheme="minorHAnsi"/>
          <w:color w:val="1F1F1F"/>
        </w:rPr>
        <w:t xml:space="preserve"> MVP Monetization Blueprint</w:t>
      </w:r>
      <w:r w:rsidR="00776869">
        <w:rPr>
          <w:rFonts w:asciiTheme="minorHAnsi" w:hAnsiTheme="minorHAnsi"/>
          <w:color w:val="1F1F1F"/>
        </w:rPr>
        <w:t xml:space="preserve"> Research Report</w:t>
      </w:r>
      <w:r w:rsidRPr="008112B8">
        <w:rPr>
          <w:rFonts w:asciiTheme="minorHAnsi" w:hAnsiTheme="minorHAnsi"/>
          <w:color w:val="1F1F1F"/>
        </w:rPr>
        <w:t>: A High-Margin, Subscription-Led Framework for Vendor Growth</w:t>
      </w:r>
    </w:p>
    <w:p w:rsidR="008112B8" w:rsidRPr="008112B8" w:rsidRDefault="008112B8" w:rsidP="008112B8">
      <w:pPr>
        <w:spacing w:after="240"/>
      </w:pPr>
    </w:p>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Executive Summary: The High-Margin MVP Monetization Blueprint</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The Minimum Viable Product (MVP) revenue framework for </w:t>
      </w:r>
      <w:proofErr w:type="spellStart"/>
      <w:r w:rsidRPr="008112B8">
        <w:rPr>
          <w:rFonts w:asciiTheme="minorHAnsi" w:hAnsiTheme="minorHAnsi"/>
          <w:color w:val="1F1F1F"/>
          <w:sz w:val="22"/>
          <w:szCs w:val="22"/>
        </w:rPr>
        <w:t>ReachHub</w:t>
      </w:r>
      <w:proofErr w:type="spellEnd"/>
      <w:r w:rsidRPr="008112B8">
        <w:rPr>
          <w:rFonts w:asciiTheme="minorHAnsi" w:hAnsiTheme="minorHAnsi"/>
          <w:color w:val="1F1F1F"/>
          <w:sz w:val="22"/>
          <w:szCs w:val="22"/>
        </w:rPr>
        <w:t xml:space="preserve"> is strategically designed to achieve rapid market penetration and maximize financial stability through a Vendor Subscription model, prioritizing Monthly Recurring Revenue (MRR) consistency over complex, variable transactional fees. This approach ensures an extremely high gross margin, targeting </w:t>
      </w:r>
      <w:r w:rsidRPr="008112B8">
        <w:rPr>
          <w:rFonts w:asciiTheme="minorHAnsi" w:hAnsiTheme="minorHAnsi"/>
          <w:b/>
          <w:bCs/>
          <w:color w:val="1F1F1F"/>
          <w:sz w:val="22"/>
          <w:szCs w:val="22"/>
        </w:rPr>
        <w:t>90%+</w:t>
      </w:r>
      <w:r w:rsidRPr="008112B8">
        <w:rPr>
          <w:rFonts w:asciiTheme="minorHAnsi" w:hAnsiTheme="minorHAnsi"/>
          <w:color w:val="1F1F1F"/>
          <w:sz w:val="22"/>
          <w:szCs w:val="22"/>
        </w:rPr>
        <w:t>, as it minimizes logistical and operational costs associated with delivery and high-volume transaction processing.</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The core of the strategy rests on a three-tiered structure: a compelling, zero-risk trial (R0, Basic Access) converting to a competitively priced Standard Store Tier (recommended </w:t>
      </w:r>
      <w:r w:rsidRPr="008112B8">
        <w:rPr>
          <w:rFonts w:asciiTheme="minorHAnsi" w:hAnsiTheme="minorHAnsi"/>
          <w:b/>
          <w:bCs/>
          <w:color w:val="1F1F1F"/>
          <w:sz w:val="22"/>
          <w:szCs w:val="22"/>
        </w:rPr>
        <w:t>R199 per month</w:t>
      </w:r>
      <w:r w:rsidRPr="008112B8">
        <w:rPr>
          <w:rFonts w:asciiTheme="minorHAnsi" w:hAnsiTheme="minorHAnsi"/>
          <w:color w:val="1F1F1F"/>
          <w:sz w:val="22"/>
          <w:szCs w:val="22"/>
        </w:rPr>
        <w:t xml:space="preserve">), and an Optimization Paywall (Pro Merchant Tier at </w:t>
      </w:r>
      <w:r w:rsidRPr="008112B8">
        <w:rPr>
          <w:rFonts w:asciiTheme="minorHAnsi" w:hAnsiTheme="minorHAnsi"/>
          <w:b/>
          <w:bCs/>
          <w:color w:val="1F1F1F"/>
          <w:sz w:val="22"/>
          <w:szCs w:val="22"/>
        </w:rPr>
        <w:t>R499 per month</w:t>
      </w:r>
      <w:r w:rsidRPr="008112B8">
        <w:rPr>
          <w:rFonts w:asciiTheme="minorHAnsi" w:hAnsiTheme="minorHAnsi"/>
          <w:color w:val="1F1F1F"/>
          <w:sz w:val="22"/>
          <w:szCs w:val="22"/>
        </w:rPr>
        <w:t xml:space="preserve">). Success hinges on the strategic enforcement of feature gating, specifically limiting the R0 trial to a maximum of ten product listings </w:t>
      </w:r>
      <w:proofErr w:type="gramStart"/>
      <w:r w:rsidRPr="008112B8">
        <w:rPr>
          <w:rFonts w:asciiTheme="minorHAnsi" w:hAnsiTheme="minorHAnsi"/>
          <w:color w:val="1F1F1F"/>
          <w:sz w:val="22"/>
          <w:szCs w:val="22"/>
        </w:rPr>
        <w:t>to</w:t>
      </w:r>
      <w:proofErr w:type="gramEnd"/>
      <w:r w:rsidRPr="008112B8">
        <w:rPr>
          <w:rFonts w:asciiTheme="minorHAnsi" w:hAnsiTheme="minorHAnsi"/>
          <w:color w:val="1F1F1F"/>
          <w:sz w:val="22"/>
          <w:szCs w:val="22"/>
        </w:rPr>
        <w:t xml:space="preserve"> force conversion when a vendor requires scale.</w:t>
      </w:r>
      <w:r w:rsidRPr="008112B8">
        <w:rPr>
          <w:rFonts w:asciiTheme="minorHAnsi" w:hAnsiTheme="minorHAnsi"/>
          <w:color w:val="444746"/>
          <w:sz w:val="14"/>
          <w:szCs w:val="14"/>
          <w:vertAlign w:val="superscript"/>
        </w:rPr>
        <w:t>1</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A critical focus must be placed on Vendor Churn Rate, as the SMB market exhibits highly volatile retention rates (churn often exceeding 40% annually in comparable sectors).</w:t>
      </w:r>
      <w:r w:rsidRPr="008112B8">
        <w:rPr>
          <w:rFonts w:asciiTheme="minorHAnsi" w:hAnsiTheme="minorHAnsi"/>
          <w:color w:val="444746"/>
          <w:sz w:val="14"/>
          <w:szCs w:val="14"/>
          <w:vertAlign w:val="superscript"/>
        </w:rPr>
        <w:t>3</w:t>
      </w:r>
      <w:r w:rsidRPr="008112B8">
        <w:rPr>
          <w:rFonts w:asciiTheme="minorHAnsi" w:hAnsiTheme="minorHAnsi"/>
          <w:color w:val="1F1F1F"/>
          <w:sz w:val="22"/>
          <w:szCs w:val="22"/>
        </w:rPr>
        <w:t xml:space="preserve"> Mitigating this risk requires moving beyond simple feature access to providing continuous, quantifiable return on investment (ROI), justifying the R199 and R499 fees through tangible sales results and actionable, unique local market intelligence.</w:t>
      </w:r>
      <w:r w:rsidRPr="008112B8">
        <w:rPr>
          <w:rFonts w:asciiTheme="minorHAnsi" w:hAnsiTheme="minorHAnsi"/>
          <w:color w:val="444746"/>
          <w:sz w:val="14"/>
          <w:szCs w:val="14"/>
          <w:vertAlign w:val="superscript"/>
        </w:rPr>
        <w:t>4</w:t>
      </w:r>
    </w:p>
    <w:p w:rsidR="008112B8" w:rsidRPr="008112B8" w:rsidRDefault="008112B8" w:rsidP="008112B8"/>
    <w:p w:rsidR="008112B8" w:rsidRPr="008112B8" w:rsidRDefault="008112B8" w:rsidP="008112B8">
      <w:pPr>
        <w:pStyle w:val="Heading2"/>
        <w:spacing w:before="0" w:beforeAutospacing="0" w:after="120" w:afterAutospacing="0"/>
        <w:rPr>
          <w:rFonts w:asciiTheme="minorHAnsi" w:hAnsiTheme="minorHAnsi"/>
        </w:rPr>
      </w:pPr>
      <w:r w:rsidRPr="008112B8">
        <w:rPr>
          <w:rFonts w:asciiTheme="minorHAnsi" w:hAnsiTheme="minorHAnsi"/>
          <w:color w:val="1F1F1F"/>
        </w:rPr>
        <w:t>I. Foundational Economics of the Subscription MVP</w:t>
      </w:r>
    </w:p>
    <w:p w:rsidR="008112B8" w:rsidRPr="008112B8" w:rsidRDefault="008112B8" w:rsidP="008112B8">
      <w:pPr>
        <w:spacing w:after="240"/>
      </w:pPr>
    </w:p>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1. Defining the MVP Revenue Mandate: Focus on Predictability and Margin</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The decision to focus the MVP exclusively on a recurring Vendor Subscription model is based on sound B2B SaaS economics. During the pilot phase, the strategic objective is proving the fundamental value of the platform—its ability to connect local vendors with local consumers—without incurring the logistical complexity and capital expenditure required for integrated delivery services.</w:t>
      </w:r>
    </w:p>
    <w:p w:rsidR="008112B8" w:rsidRPr="008112B8" w:rsidRDefault="008112B8" w:rsidP="008112B8"/>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lastRenderedPageBreak/>
        <w:t>Rationale for Subscription-Only Focus</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Excluding integrated delivery logistics and complex transactional variable costs (such as Take Rates) significantly simplifies the cost structure. The Costs of Goods Sold (COGS) for subscription access are primarily limited to hosting, basic maintenance, and essential customer support infrastructure. This allows </w:t>
      </w:r>
      <w:proofErr w:type="spellStart"/>
      <w:r w:rsidRPr="008112B8">
        <w:rPr>
          <w:rFonts w:asciiTheme="minorHAnsi" w:hAnsiTheme="minorHAnsi"/>
          <w:color w:val="1F1F1F"/>
          <w:sz w:val="22"/>
          <w:szCs w:val="22"/>
        </w:rPr>
        <w:t>ReachHub</w:t>
      </w:r>
      <w:proofErr w:type="spellEnd"/>
      <w:r w:rsidRPr="008112B8">
        <w:rPr>
          <w:rFonts w:asciiTheme="minorHAnsi" w:hAnsiTheme="minorHAnsi"/>
          <w:color w:val="1F1F1F"/>
          <w:sz w:val="22"/>
          <w:szCs w:val="22"/>
        </w:rPr>
        <w:t xml:space="preserve"> to target a Gross Margin percentage that is inherently high, with a target of </w:t>
      </w:r>
      <w:r w:rsidRPr="008112B8">
        <w:rPr>
          <w:rFonts w:asciiTheme="minorHAnsi" w:hAnsiTheme="minorHAnsi"/>
          <w:b/>
          <w:bCs/>
          <w:color w:val="1F1F1F"/>
          <w:sz w:val="22"/>
          <w:szCs w:val="22"/>
        </w:rPr>
        <w:t>90%+</w:t>
      </w:r>
      <w:r w:rsidRPr="008112B8">
        <w:rPr>
          <w:rFonts w:asciiTheme="minorHAnsi" w:hAnsiTheme="minorHAnsi"/>
          <w:color w:val="1F1F1F"/>
          <w:sz w:val="22"/>
          <w:szCs w:val="22"/>
        </w:rPr>
        <w:t>. Achieving this margin is fundamental for proving the early financial viability and stability of the platform, a key requirement for attracting future investment.</w:t>
      </w:r>
      <w:r w:rsidRPr="008112B8">
        <w:rPr>
          <w:rFonts w:asciiTheme="minorHAnsi" w:hAnsiTheme="minorHAnsi"/>
          <w:color w:val="444746"/>
          <w:sz w:val="14"/>
          <w:szCs w:val="14"/>
          <w:vertAlign w:val="superscript"/>
        </w:rPr>
        <w:t>6</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The emphasis on Monthly Recurring Revenue (MRR) ensures financial predictability.</w:t>
      </w:r>
      <w:r w:rsidRPr="008112B8">
        <w:rPr>
          <w:rFonts w:asciiTheme="minorHAnsi" w:hAnsiTheme="minorHAnsi"/>
          <w:color w:val="444746"/>
          <w:sz w:val="14"/>
          <w:szCs w:val="14"/>
          <w:vertAlign w:val="superscript"/>
        </w:rPr>
        <w:t>7</w:t>
      </w:r>
      <w:r w:rsidRPr="008112B8">
        <w:rPr>
          <w:rFonts w:asciiTheme="minorHAnsi" w:hAnsiTheme="minorHAnsi"/>
          <w:color w:val="1F1F1F"/>
          <w:sz w:val="22"/>
          <w:szCs w:val="22"/>
        </w:rPr>
        <w:t xml:space="preserve"> </w:t>
      </w:r>
      <w:proofErr w:type="gramStart"/>
      <w:r w:rsidRPr="008112B8">
        <w:rPr>
          <w:rFonts w:asciiTheme="minorHAnsi" w:hAnsiTheme="minorHAnsi"/>
          <w:color w:val="1F1F1F"/>
          <w:sz w:val="22"/>
          <w:szCs w:val="22"/>
        </w:rPr>
        <w:t>Unlike</w:t>
      </w:r>
      <w:proofErr w:type="gramEnd"/>
      <w:r w:rsidRPr="008112B8">
        <w:rPr>
          <w:rFonts w:asciiTheme="minorHAnsi" w:hAnsiTheme="minorHAnsi"/>
          <w:color w:val="1F1F1F"/>
          <w:sz w:val="22"/>
          <w:szCs w:val="22"/>
        </w:rPr>
        <w:t xml:space="preserve"> models reliant on transaction volume, which can fluctuate wildly based on seasonality or external economic factors, MRR provides a stable base for operational planning and demonstrating long-term sustainability. This financial consistency is particularly vital in emerging markets where operational risks and market volatility may be higher.</w:t>
      </w:r>
    </w:p>
    <w:p w:rsidR="008112B8" w:rsidRPr="008112B8" w:rsidRDefault="008112B8" w:rsidP="008112B8"/>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2. Local Market Competitive Analysis and Pricing Validation (South Africa/</w:t>
      </w:r>
      <w:proofErr w:type="spellStart"/>
      <w:r w:rsidRPr="008112B8">
        <w:rPr>
          <w:rFonts w:asciiTheme="minorHAnsi" w:hAnsiTheme="minorHAnsi"/>
          <w:color w:val="1F1F1F"/>
          <w:sz w:val="28"/>
          <w:szCs w:val="28"/>
        </w:rPr>
        <w:t>Rands</w:t>
      </w:r>
      <w:proofErr w:type="spellEnd"/>
      <w:r w:rsidRPr="008112B8">
        <w:rPr>
          <w:rFonts w:asciiTheme="minorHAnsi" w:hAnsiTheme="minorHAnsi"/>
          <w:color w:val="1F1F1F"/>
          <w:sz w:val="28"/>
          <w:szCs w:val="28"/>
        </w:rPr>
        <w:t>)</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To maximize Vendor adoption, the subscription pricing must be perceived as a superior, de-risked alternative to established e-commerce solutions available in the local market. Analysis of the South African competitive landscape confirms that the proposed pricing range (R99–R499) is highly competitive and strategically positioned.</w:t>
      </w:r>
    </w:p>
    <w:p w:rsidR="008112B8" w:rsidRPr="008112B8" w:rsidRDefault="008112B8" w:rsidP="008112B8"/>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t>Benchmarking Against E-commerce SaaS</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Local businesses often face substantial financial hurdles when attempting to establish a robust digital presence. Building a professional, semi-custom e-commerce store for an established SME typically requires an upfront capital investment ranging from </w:t>
      </w:r>
      <w:r w:rsidRPr="008112B8">
        <w:rPr>
          <w:rFonts w:asciiTheme="minorHAnsi" w:hAnsiTheme="minorHAnsi"/>
          <w:b/>
          <w:bCs/>
          <w:color w:val="1F1F1F"/>
          <w:sz w:val="22"/>
          <w:szCs w:val="22"/>
        </w:rPr>
        <w:t>R30,000 to R85,000</w:t>
      </w:r>
      <w:r w:rsidRPr="008112B8">
        <w:rPr>
          <w:rFonts w:asciiTheme="minorHAnsi" w:hAnsiTheme="minorHAnsi"/>
          <w:color w:val="1F1F1F"/>
          <w:sz w:val="22"/>
          <w:szCs w:val="22"/>
        </w:rPr>
        <w:t>, in addition to monthly hosting and maintenance fees.</w:t>
      </w:r>
      <w:r w:rsidRPr="008112B8">
        <w:rPr>
          <w:rFonts w:asciiTheme="minorHAnsi" w:hAnsiTheme="minorHAnsi"/>
          <w:color w:val="444746"/>
          <w:sz w:val="14"/>
          <w:szCs w:val="14"/>
          <w:vertAlign w:val="superscript"/>
        </w:rPr>
        <w:t>8</w:t>
      </w:r>
      <w:r w:rsidRPr="008112B8">
        <w:rPr>
          <w:rFonts w:asciiTheme="minorHAnsi" w:hAnsiTheme="minorHAnsi"/>
          <w:color w:val="1F1F1F"/>
          <w:sz w:val="22"/>
          <w:szCs w:val="22"/>
        </w:rPr>
        <w:t xml:space="preserve"> </w:t>
      </w:r>
      <w:proofErr w:type="spellStart"/>
      <w:r w:rsidRPr="008112B8">
        <w:rPr>
          <w:rFonts w:asciiTheme="minorHAnsi" w:hAnsiTheme="minorHAnsi"/>
          <w:color w:val="1F1F1F"/>
          <w:sz w:val="22"/>
          <w:szCs w:val="22"/>
        </w:rPr>
        <w:t>ReachHub’s</w:t>
      </w:r>
      <w:proofErr w:type="spellEnd"/>
      <w:r w:rsidRPr="008112B8">
        <w:rPr>
          <w:rFonts w:asciiTheme="minorHAnsi" w:hAnsiTheme="minorHAnsi"/>
          <w:color w:val="1F1F1F"/>
          <w:sz w:val="22"/>
          <w:szCs w:val="22"/>
        </w:rPr>
        <w:t xml:space="preserve"> subscription model immediately removes this massive barrier to entry, repositioning the cost of a professional digital presence from a prohibitive capital expenditure to a manageable operational expense.</w:t>
      </w:r>
    </w:p>
    <w:p w:rsidR="008112B8" w:rsidRPr="008112B8" w:rsidRDefault="008112B8" w:rsidP="008112B8">
      <w:pPr>
        <w:pStyle w:val="NormalWeb"/>
        <w:spacing w:before="0" w:beforeAutospacing="0" w:after="120" w:afterAutospacing="0"/>
        <w:rPr>
          <w:rFonts w:asciiTheme="minorHAnsi" w:hAnsiTheme="minorHAnsi"/>
        </w:rPr>
      </w:pPr>
      <w:r w:rsidRPr="008112B8">
        <w:rPr>
          <w:rFonts w:asciiTheme="minorHAnsi" w:hAnsiTheme="minorHAnsi"/>
          <w:color w:val="1F1F1F"/>
          <w:sz w:val="22"/>
          <w:szCs w:val="22"/>
        </w:rPr>
        <w:t xml:space="preserve">Furthermore, </w:t>
      </w:r>
      <w:proofErr w:type="spellStart"/>
      <w:r w:rsidRPr="008112B8">
        <w:rPr>
          <w:rFonts w:asciiTheme="minorHAnsi" w:hAnsiTheme="minorHAnsi"/>
          <w:color w:val="1F1F1F"/>
          <w:sz w:val="22"/>
          <w:szCs w:val="22"/>
        </w:rPr>
        <w:t>ReachHub’s</w:t>
      </w:r>
      <w:proofErr w:type="spellEnd"/>
      <w:r w:rsidRPr="008112B8">
        <w:rPr>
          <w:rFonts w:asciiTheme="minorHAnsi" w:hAnsiTheme="minorHAnsi"/>
          <w:color w:val="1F1F1F"/>
          <w:sz w:val="22"/>
          <w:szCs w:val="22"/>
        </w:rPr>
        <w:t xml:space="preserve"> pricing sits </w:t>
      </w:r>
      <w:proofErr w:type="spellStart"/>
      <w:r w:rsidRPr="008112B8">
        <w:rPr>
          <w:rFonts w:asciiTheme="minorHAnsi" w:hAnsiTheme="minorHAnsi"/>
          <w:color w:val="1F1F1F"/>
          <w:sz w:val="22"/>
          <w:szCs w:val="22"/>
        </w:rPr>
        <w:t>favorably</w:t>
      </w:r>
      <w:proofErr w:type="spellEnd"/>
      <w:r w:rsidRPr="008112B8">
        <w:rPr>
          <w:rFonts w:asciiTheme="minorHAnsi" w:hAnsiTheme="minorHAnsi"/>
          <w:color w:val="1F1F1F"/>
          <w:sz w:val="22"/>
          <w:szCs w:val="22"/>
        </w:rPr>
        <w:t xml:space="preserve"> against existing low-to-mid-tier e-commerce SaaS builders:</w:t>
      </w:r>
    </w:p>
    <w:p w:rsidR="008112B8" w:rsidRPr="008112B8" w:rsidRDefault="008112B8" w:rsidP="008112B8">
      <w:pPr>
        <w:pStyle w:val="NormalWeb"/>
        <w:numPr>
          <w:ilvl w:val="0"/>
          <w:numId w:val="37"/>
        </w:numPr>
        <w:spacing w:before="0" w:beforeAutospacing="0" w:after="0" w:afterAutospacing="0"/>
        <w:ind w:left="465"/>
        <w:textAlignment w:val="baseline"/>
        <w:rPr>
          <w:rFonts w:asciiTheme="minorHAnsi" w:hAnsiTheme="minorHAnsi" w:cs="Arial"/>
          <w:color w:val="000000"/>
          <w:sz w:val="22"/>
          <w:szCs w:val="22"/>
        </w:rPr>
      </w:pPr>
      <w:r w:rsidRPr="008112B8">
        <w:rPr>
          <w:rFonts w:asciiTheme="minorHAnsi" w:hAnsiTheme="minorHAnsi" w:cs="Arial"/>
          <w:color w:val="1F1F1F"/>
          <w:sz w:val="22"/>
          <w:szCs w:val="22"/>
        </w:rPr>
        <w:t xml:space="preserve">Entry-level local builders (e.g., </w:t>
      </w:r>
      <w:proofErr w:type="spellStart"/>
      <w:r w:rsidRPr="008112B8">
        <w:rPr>
          <w:rFonts w:asciiTheme="minorHAnsi" w:hAnsiTheme="minorHAnsi" w:cs="Arial"/>
          <w:color w:val="1F1F1F"/>
          <w:sz w:val="22"/>
          <w:szCs w:val="22"/>
        </w:rPr>
        <w:t>Shopstar</w:t>
      </w:r>
      <w:proofErr w:type="spellEnd"/>
      <w:r w:rsidRPr="008112B8">
        <w:rPr>
          <w:rFonts w:asciiTheme="minorHAnsi" w:hAnsiTheme="minorHAnsi" w:cs="Arial"/>
          <w:color w:val="1F1F1F"/>
          <w:sz w:val="22"/>
          <w:szCs w:val="22"/>
        </w:rPr>
        <w:t xml:space="preserve"> Starter) establish a price floor at approximately </w:t>
      </w:r>
      <w:r w:rsidRPr="008112B8">
        <w:rPr>
          <w:rFonts w:asciiTheme="minorHAnsi" w:hAnsiTheme="minorHAnsi" w:cs="Arial"/>
          <w:b/>
          <w:bCs/>
          <w:color w:val="1F1F1F"/>
          <w:sz w:val="22"/>
          <w:szCs w:val="22"/>
        </w:rPr>
        <w:t>R110 per month</w:t>
      </w:r>
      <w:r w:rsidRPr="008112B8">
        <w:rPr>
          <w:rFonts w:asciiTheme="minorHAnsi" w:hAnsiTheme="minorHAnsi" w:cs="Arial"/>
          <w:color w:val="1F1F1F"/>
          <w:sz w:val="22"/>
          <w:szCs w:val="22"/>
        </w:rPr>
        <w:t>.</w:t>
      </w:r>
      <w:r w:rsidRPr="008112B8">
        <w:rPr>
          <w:rFonts w:asciiTheme="minorHAnsi" w:hAnsiTheme="minorHAnsi" w:cs="Arial"/>
          <w:color w:val="444746"/>
          <w:sz w:val="14"/>
          <w:szCs w:val="14"/>
          <w:vertAlign w:val="superscript"/>
        </w:rPr>
        <w:t>9</w:t>
      </w:r>
    </w:p>
    <w:p w:rsidR="008112B8" w:rsidRPr="008112B8" w:rsidRDefault="008112B8" w:rsidP="008112B8">
      <w:pPr>
        <w:pStyle w:val="NormalWeb"/>
        <w:numPr>
          <w:ilvl w:val="0"/>
          <w:numId w:val="37"/>
        </w:numPr>
        <w:spacing w:before="0" w:beforeAutospacing="0" w:after="0" w:afterAutospacing="0"/>
        <w:ind w:left="465"/>
        <w:textAlignment w:val="baseline"/>
        <w:rPr>
          <w:rFonts w:asciiTheme="minorHAnsi" w:hAnsiTheme="minorHAnsi" w:cs="Arial"/>
          <w:color w:val="000000"/>
          <w:sz w:val="22"/>
          <w:szCs w:val="22"/>
        </w:rPr>
      </w:pPr>
      <w:r w:rsidRPr="008112B8">
        <w:rPr>
          <w:rFonts w:asciiTheme="minorHAnsi" w:hAnsiTheme="minorHAnsi" w:cs="Arial"/>
          <w:color w:val="1F1F1F"/>
          <w:sz w:val="22"/>
          <w:szCs w:val="22"/>
        </w:rPr>
        <w:t xml:space="preserve">More robust, full-featured SA-focused platforms (such as </w:t>
      </w:r>
      <w:proofErr w:type="spellStart"/>
      <w:r w:rsidRPr="008112B8">
        <w:rPr>
          <w:rFonts w:asciiTheme="minorHAnsi" w:hAnsiTheme="minorHAnsi" w:cs="Arial"/>
          <w:color w:val="1F1F1F"/>
          <w:sz w:val="22"/>
          <w:szCs w:val="22"/>
        </w:rPr>
        <w:t>Netcash</w:t>
      </w:r>
      <w:proofErr w:type="spellEnd"/>
      <w:r w:rsidRPr="008112B8">
        <w:rPr>
          <w:rFonts w:asciiTheme="minorHAnsi" w:hAnsiTheme="minorHAnsi" w:cs="Arial"/>
          <w:color w:val="1F1F1F"/>
          <w:sz w:val="22"/>
          <w:szCs w:val="22"/>
        </w:rPr>
        <w:t xml:space="preserve"> Shop) generally price their services around </w:t>
      </w:r>
      <w:r w:rsidRPr="008112B8">
        <w:rPr>
          <w:rFonts w:asciiTheme="minorHAnsi" w:hAnsiTheme="minorHAnsi" w:cs="Arial"/>
          <w:b/>
          <w:bCs/>
          <w:color w:val="1F1F1F"/>
          <w:sz w:val="22"/>
          <w:szCs w:val="22"/>
        </w:rPr>
        <w:t>R296 per month</w:t>
      </w:r>
      <w:r w:rsidRPr="008112B8">
        <w:rPr>
          <w:rFonts w:asciiTheme="minorHAnsi" w:hAnsiTheme="minorHAnsi" w:cs="Arial"/>
          <w:color w:val="1F1F1F"/>
          <w:sz w:val="22"/>
          <w:szCs w:val="22"/>
        </w:rPr>
        <w:t xml:space="preserve"> (excluding VAT).</w:t>
      </w:r>
      <w:r w:rsidRPr="008112B8">
        <w:rPr>
          <w:rFonts w:asciiTheme="minorHAnsi" w:hAnsiTheme="minorHAnsi" w:cs="Arial"/>
          <w:color w:val="444746"/>
          <w:sz w:val="14"/>
          <w:szCs w:val="14"/>
          <w:vertAlign w:val="superscript"/>
        </w:rPr>
        <w:t>9</w:t>
      </w:r>
    </w:p>
    <w:p w:rsidR="008112B8" w:rsidRPr="008112B8" w:rsidRDefault="008112B8" w:rsidP="008112B8">
      <w:pPr>
        <w:pStyle w:val="NormalWeb"/>
        <w:numPr>
          <w:ilvl w:val="0"/>
          <w:numId w:val="37"/>
        </w:numPr>
        <w:spacing w:before="0" w:beforeAutospacing="0" w:after="120" w:afterAutospacing="0"/>
        <w:ind w:left="465"/>
        <w:textAlignment w:val="baseline"/>
        <w:rPr>
          <w:rFonts w:asciiTheme="minorHAnsi" w:hAnsiTheme="minorHAnsi" w:cs="Arial"/>
          <w:color w:val="000000"/>
          <w:sz w:val="22"/>
          <w:szCs w:val="22"/>
        </w:rPr>
      </w:pPr>
      <w:r w:rsidRPr="008112B8">
        <w:rPr>
          <w:rFonts w:asciiTheme="minorHAnsi" w:hAnsiTheme="minorHAnsi" w:cs="Arial"/>
          <w:color w:val="1F1F1F"/>
          <w:sz w:val="22"/>
          <w:szCs w:val="22"/>
        </w:rPr>
        <w:t xml:space="preserve">International platforms tailored for small businesses charge significantly higher rates, such as </w:t>
      </w:r>
      <w:proofErr w:type="spellStart"/>
      <w:r w:rsidRPr="008112B8">
        <w:rPr>
          <w:rFonts w:asciiTheme="minorHAnsi" w:hAnsiTheme="minorHAnsi" w:cs="Arial"/>
          <w:color w:val="1F1F1F"/>
          <w:sz w:val="22"/>
          <w:szCs w:val="22"/>
        </w:rPr>
        <w:t>Wix</w:t>
      </w:r>
      <w:proofErr w:type="spellEnd"/>
      <w:r w:rsidRPr="008112B8">
        <w:rPr>
          <w:rFonts w:asciiTheme="minorHAnsi" w:hAnsiTheme="minorHAnsi" w:cs="Arial"/>
          <w:color w:val="1F1F1F"/>
          <w:sz w:val="22"/>
          <w:szCs w:val="22"/>
        </w:rPr>
        <w:t xml:space="preserve"> (R528 equivalent).</w:t>
      </w:r>
      <w:r w:rsidRPr="008112B8">
        <w:rPr>
          <w:rFonts w:asciiTheme="minorHAnsi" w:hAnsiTheme="minorHAnsi" w:cs="Arial"/>
          <w:color w:val="444746"/>
          <w:sz w:val="14"/>
          <w:szCs w:val="14"/>
          <w:vertAlign w:val="superscript"/>
        </w:rPr>
        <w:t>9</w:t>
      </w:r>
    </w:p>
    <w:p w:rsidR="008112B8" w:rsidRPr="008112B8" w:rsidRDefault="008112B8" w:rsidP="008112B8">
      <w:pPr>
        <w:pStyle w:val="NormalWeb"/>
        <w:spacing w:before="240" w:beforeAutospacing="0" w:after="240" w:afterAutospacing="0"/>
        <w:rPr>
          <w:rFonts w:asciiTheme="minorHAnsi" w:hAnsiTheme="minorHAnsi"/>
        </w:rPr>
      </w:pPr>
      <w:r w:rsidRPr="008112B8">
        <w:rPr>
          <w:rFonts w:asciiTheme="minorHAnsi" w:hAnsiTheme="minorHAnsi"/>
          <w:color w:val="1F1F1F"/>
          <w:sz w:val="22"/>
          <w:szCs w:val="22"/>
        </w:rPr>
        <w:t>This market data strongly validates the proposed Standard Store Tier price.</w:t>
      </w:r>
    </w:p>
    <w:p w:rsidR="008112B8" w:rsidRPr="008112B8" w:rsidRDefault="008112B8" w:rsidP="008112B8"/>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t>Pricing Validation and Optimization: Setting the Conversion Targets</w:t>
      </w:r>
    </w:p>
    <w:p w:rsidR="008112B8" w:rsidRPr="008112B8" w:rsidRDefault="008112B8" w:rsidP="008112B8"/>
    <w:p w:rsidR="008112B8" w:rsidRPr="008112B8" w:rsidRDefault="008112B8" w:rsidP="008112B8">
      <w:pPr>
        <w:pStyle w:val="NormalWeb"/>
        <w:spacing w:before="0" w:beforeAutospacing="0" w:after="120" w:afterAutospacing="0"/>
        <w:rPr>
          <w:rFonts w:asciiTheme="minorHAnsi" w:hAnsiTheme="minorHAnsi"/>
        </w:rPr>
      </w:pPr>
      <w:r w:rsidRPr="008112B8">
        <w:rPr>
          <w:rFonts w:asciiTheme="minorHAnsi" w:hAnsiTheme="minorHAnsi"/>
          <w:color w:val="1F1F1F"/>
          <w:sz w:val="22"/>
          <w:szCs w:val="22"/>
        </w:rPr>
        <w:t>Based on the competitive analysis, the recommended pricing strategy is:</w:t>
      </w:r>
    </w:p>
    <w:p w:rsidR="008112B8" w:rsidRPr="008112B8" w:rsidRDefault="008112B8" w:rsidP="008112B8">
      <w:pPr>
        <w:pStyle w:val="NormalWeb"/>
        <w:numPr>
          <w:ilvl w:val="0"/>
          <w:numId w:val="38"/>
        </w:numPr>
        <w:spacing w:before="0" w:beforeAutospacing="0" w:after="0" w:afterAutospacing="0"/>
        <w:ind w:left="465"/>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Recommendation for Standard Tier (Tier 2): R199 per month.</w:t>
      </w:r>
      <w:r w:rsidRPr="008112B8">
        <w:rPr>
          <w:rFonts w:asciiTheme="minorHAnsi" w:hAnsiTheme="minorHAnsi" w:cs="Arial"/>
          <w:color w:val="1F1F1F"/>
          <w:sz w:val="22"/>
          <w:szCs w:val="22"/>
        </w:rPr>
        <w:t xml:space="preserve"> This price sits comfortably below the established mid-market players (R296–R382) while offering significantly more value than the R110 entry-level builders, leveraging the unique advantage of immediate access to a captive local consumer base. This position offers clear perceived value without compromising the target ARPU growth.</w:t>
      </w:r>
    </w:p>
    <w:p w:rsidR="008112B8" w:rsidRPr="008112B8" w:rsidRDefault="008112B8" w:rsidP="008112B8">
      <w:pPr>
        <w:pStyle w:val="NormalWeb"/>
        <w:numPr>
          <w:ilvl w:val="0"/>
          <w:numId w:val="38"/>
        </w:numPr>
        <w:spacing w:before="0" w:beforeAutospacing="0" w:after="120" w:afterAutospacing="0"/>
        <w:ind w:left="465"/>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Recommendation for Pro Merchant Tier (Tier 3): R499 per month.</w:t>
      </w:r>
      <w:r w:rsidRPr="008112B8">
        <w:rPr>
          <w:rFonts w:asciiTheme="minorHAnsi" w:hAnsiTheme="minorHAnsi" w:cs="Arial"/>
          <w:color w:val="1F1F1F"/>
          <w:sz w:val="22"/>
          <w:szCs w:val="22"/>
        </w:rPr>
        <w:t xml:space="preserve"> This price point is positioned at the high-end of the local market range. It can only be justified by delivering a unique, premium value proposition—specifically, tools that tangibly increase vendor profitability, such as Advanced Analytics and prioritized operational support.</w:t>
      </w:r>
      <w:r w:rsidRPr="008112B8">
        <w:rPr>
          <w:rFonts w:asciiTheme="minorHAnsi" w:hAnsiTheme="minorHAnsi" w:cs="Arial"/>
          <w:color w:val="444746"/>
          <w:sz w:val="14"/>
          <w:szCs w:val="14"/>
          <w:vertAlign w:val="superscript"/>
        </w:rPr>
        <w:t>5</w:t>
      </w:r>
    </w:p>
    <w:p w:rsidR="008112B8" w:rsidRPr="008112B8" w:rsidRDefault="008112B8" w:rsidP="008112B8">
      <w:pPr>
        <w:pStyle w:val="NormalWeb"/>
        <w:spacing w:before="240" w:beforeAutospacing="0" w:after="240" w:afterAutospacing="0"/>
        <w:rPr>
          <w:rFonts w:asciiTheme="minorHAnsi" w:hAnsiTheme="minorHAnsi"/>
        </w:rPr>
      </w:pPr>
      <w:r w:rsidRPr="008112B8">
        <w:rPr>
          <w:rFonts w:asciiTheme="minorHAnsi" w:hAnsiTheme="minorHAnsi"/>
          <w:color w:val="1F1F1F"/>
          <w:sz w:val="22"/>
          <w:szCs w:val="22"/>
        </w:rPr>
        <w:t xml:space="preserve">The core value proposition for the R199 Standard Tier, therefore, is not merely a list of features, but the delivery of a </w:t>
      </w:r>
      <w:r w:rsidRPr="008112B8">
        <w:rPr>
          <w:rFonts w:asciiTheme="minorHAnsi" w:hAnsiTheme="minorHAnsi"/>
          <w:i/>
          <w:iCs/>
          <w:color w:val="1F1F1F"/>
          <w:sz w:val="22"/>
          <w:szCs w:val="22"/>
        </w:rPr>
        <w:t>de-risked professional online presence</w:t>
      </w:r>
      <w:r w:rsidRPr="008112B8">
        <w:rPr>
          <w:rFonts w:asciiTheme="minorHAnsi" w:hAnsiTheme="minorHAnsi"/>
          <w:color w:val="1F1F1F"/>
          <w:sz w:val="22"/>
          <w:szCs w:val="22"/>
        </w:rPr>
        <w:t>—an operational cost that avoids the high upfront costs of custom development.</w:t>
      </w:r>
      <w:r w:rsidRPr="008112B8">
        <w:rPr>
          <w:rFonts w:asciiTheme="minorHAnsi" w:hAnsiTheme="minorHAnsi"/>
          <w:color w:val="444746"/>
          <w:sz w:val="14"/>
          <w:szCs w:val="14"/>
          <w:vertAlign w:val="superscript"/>
        </w:rPr>
        <w:t>8</w:t>
      </w:r>
    </w:p>
    <w:p w:rsidR="008112B8" w:rsidRPr="008112B8" w:rsidRDefault="008112B8" w:rsidP="008112B8"/>
    <w:p w:rsidR="008112B8" w:rsidRPr="008112B8" w:rsidRDefault="008112B8" w:rsidP="008112B8">
      <w:pPr>
        <w:pStyle w:val="Heading2"/>
        <w:spacing w:before="0" w:beforeAutospacing="0" w:after="120" w:afterAutospacing="0"/>
        <w:rPr>
          <w:rFonts w:asciiTheme="minorHAnsi" w:hAnsiTheme="minorHAnsi"/>
        </w:rPr>
      </w:pPr>
      <w:r w:rsidRPr="008112B8">
        <w:rPr>
          <w:rFonts w:asciiTheme="minorHAnsi" w:hAnsiTheme="minorHAnsi"/>
          <w:color w:val="1F1F1F"/>
        </w:rPr>
        <w:t>II. Architecture of the Tiered Subscription Model: The Conversion Engine</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The subscription tiers are strategically designed as a Product-Led Growth (PLG) engine, where the progression from R0 to R199 and then R499 is driven by the vendor’s necessity to scale, operate efficiently, and optimize profitability.</w:t>
      </w:r>
    </w:p>
    <w:p w:rsidR="008112B8" w:rsidRPr="008112B8" w:rsidRDefault="008112B8" w:rsidP="008112B8"/>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1. Strategic Feature Gating for Forced Conversion (Tier 1: Basic Access - R0 Trial)</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The R0 Basic Access tier serves as a zero-risk entry point, maximizing initial vendor acquisition.</w:t>
      </w:r>
      <w:r w:rsidRPr="008112B8">
        <w:rPr>
          <w:rFonts w:asciiTheme="minorHAnsi" w:hAnsiTheme="minorHAnsi"/>
          <w:color w:val="444746"/>
          <w:sz w:val="14"/>
          <w:szCs w:val="14"/>
          <w:vertAlign w:val="superscript"/>
        </w:rPr>
        <w:t>1</w:t>
      </w:r>
      <w:r w:rsidRPr="008112B8">
        <w:rPr>
          <w:rFonts w:asciiTheme="minorHAnsi" w:hAnsiTheme="minorHAnsi"/>
          <w:color w:val="1F1F1F"/>
          <w:sz w:val="22"/>
          <w:szCs w:val="22"/>
        </w:rPr>
        <w:t xml:space="preserve"> </w:t>
      </w:r>
      <w:proofErr w:type="gramStart"/>
      <w:r w:rsidRPr="008112B8">
        <w:rPr>
          <w:rFonts w:asciiTheme="minorHAnsi" w:hAnsiTheme="minorHAnsi"/>
          <w:color w:val="1F1F1F"/>
          <w:sz w:val="22"/>
          <w:szCs w:val="22"/>
        </w:rPr>
        <w:t>The</w:t>
      </w:r>
      <w:proofErr w:type="gramEnd"/>
      <w:r w:rsidRPr="008112B8">
        <w:rPr>
          <w:rFonts w:asciiTheme="minorHAnsi" w:hAnsiTheme="minorHAnsi"/>
          <w:color w:val="1F1F1F"/>
          <w:sz w:val="22"/>
          <w:szCs w:val="22"/>
        </w:rPr>
        <w:t xml:space="preserve"> primary goal during this phase is achieving a rapid Time to First Value (TTFV). Vendors must be able to list their first products, complete the storefront setup, and ideally receive test orders quickly to validate the platform's core premise.</w:t>
      </w:r>
      <w:r w:rsidRPr="008112B8">
        <w:rPr>
          <w:rFonts w:asciiTheme="minorHAnsi" w:hAnsiTheme="minorHAnsi"/>
          <w:color w:val="444746"/>
          <w:sz w:val="14"/>
          <w:szCs w:val="14"/>
          <w:vertAlign w:val="superscript"/>
        </w:rPr>
        <w:t>11</w:t>
      </w:r>
      <w:r w:rsidRPr="008112B8">
        <w:rPr>
          <w:rFonts w:asciiTheme="minorHAnsi" w:hAnsiTheme="minorHAnsi"/>
          <w:color w:val="1F1F1F"/>
          <w:sz w:val="22"/>
          <w:szCs w:val="22"/>
        </w:rPr>
        <w:t xml:space="preserve"> </w:t>
      </w:r>
      <w:proofErr w:type="gramStart"/>
      <w:r w:rsidRPr="008112B8">
        <w:rPr>
          <w:rFonts w:asciiTheme="minorHAnsi" w:hAnsiTheme="minorHAnsi"/>
          <w:color w:val="1F1F1F"/>
          <w:sz w:val="22"/>
          <w:szCs w:val="22"/>
        </w:rPr>
        <w:t>This</w:t>
      </w:r>
      <w:proofErr w:type="gramEnd"/>
      <w:r w:rsidRPr="008112B8">
        <w:rPr>
          <w:rFonts w:asciiTheme="minorHAnsi" w:hAnsiTheme="minorHAnsi"/>
          <w:color w:val="1F1F1F"/>
          <w:sz w:val="22"/>
          <w:szCs w:val="22"/>
        </w:rPr>
        <w:t xml:space="preserve"> rapid success validates the platform’s utility and encourages continued usage.</w:t>
      </w:r>
    </w:p>
    <w:p w:rsidR="008112B8" w:rsidRPr="008112B8" w:rsidRDefault="008112B8" w:rsidP="008112B8"/>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t xml:space="preserve">The Critical Gating Mechanism: Product </w:t>
      </w:r>
      <w:proofErr w:type="spellStart"/>
      <w:r w:rsidRPr="008112B8">
        <w:rPr>
          <w:rFonts w:asciiTheme="minorHAnsi" w:hAnsiTheme="minorHAnsi"/>
          <w:color w:val="1F1F1F"/>
        </w:rPr>
        <w:t>Catalog</w:t>
      </w:r>
      <w:proofErr w:type="spellEnd"/>
      <w:r w:rsidRPr="008112B8">
        <w:rPr>
          <w:rFonts w:asciiTheme="minorHAnsi" w:hAnsiTheme="minorHAnsi"/>
          <w:color w:val="1F1F1F"/>
        </w:rPr>
        <w:t xml:space="preserve"> Limit (Max 10 Items)</w:t>
      </w:r>
    </w:p>
    <w:p w:rsidR="008112B8" w:rsidRPr="008112B8" w:rsidRDefault="008112B8" w:rsidP="008112B8"/>
    <w:p w:rsidR="008112B8" w:rsidRPr="008112B8" w:rsidRDefault="008112B8" w:rsidP="008112B8">
      <w:pPr>
        <w:pStyle w:val="NormalWeb"/>
        <w:spacing w:before="0" w:beforeAutospacing="0" w:after="120" w:afterAutospacing="0"/>
        <w:rPr>
          <w:rFonts w:asciiTheme="minorHAnsi" w:hAnsiTheme="minorHAnsi"/>
        </w:rPr>
      </w:pPr>
      <w:r w:rsidRPr="008112B8">
        <w:rPr>
          <w:rFonts w:asciiTheme="minorHAnsi" w:hAnsiTheme="minorHAnsi"/>
          <w:color w:val="1F1F1F"/>
          <w:sz w:val="22"/>
          <w:szCs w:val="22"/>
        </w:rPr>
        <w:lastRenderedPageBreak/>
        <w:t xml:space="preserve">The most effective paywall mechanism for a marketplace MVP is limiting the scope of scale, rather than limiting core functionality. The maximum 10-item limit for the product </w:t>
      </w:r>
      <w:proofErr w:type="spellStart"/>
      <w:r w:rsidRPr="008112B8">
        <w:rPr>
          <w:rFonts w:asciiTheme="minorHAnsi" w:hAnsiTheme="minorHAnsi"/>
          <w:color w:val="1F1F1F"/>
          <w:sz w:val="22"/>
          <w:szCs w:val="22"/>
        </w:rPr>
        <w:t>catalog</w:t>
      </w:r>
      <w:proofErr w:type="spellEnd"/>
      <w:r w:rsidRPr="008112B8">
        <w:rPr>
          <w:rFonts w:asciiTheme="minorHAnsi" w:hAnsiTheme="minorHAnsi"/>
          <w:color w:val="1F1F1F"/>
          <w:sz w:val="22"/>
          <w:szCs w:val="22"/>
        </w:rPr>
        <w:t xml:space="preserve"> is the ideal "strategic feature limitation".</w:t>
      </w:r>
      <w:r w:rsidRPr="008112B8">
        <w:rPr>
          <w:rFonts w:asciiTheme="minorHAnsi" w:hAnsiTheme="minorHAnsi"/>
          <w:color w:val="444746"/>
          <w:sz w:val="14"/>
          <w:szCs w:val="14"/>
          <w:vertAlign w:val="superscript"/>
        </w:rPr>
        <w:t>1</w:t>
      </w:r>
    </w:p>
    <w:p w:rsidR="008112B8" w:rsidRPr="008112B8" w:rsidRDefault="008112B8" w:rsidP="008112B8">
      <w:pPr>
        <w:pStyle w:val="NormalWeb"/>
        <w:numPr>
          <w:ilvl w:val="0"/>
          <w:numId w:val="39"/>
        </w:numPr>
        <w:spacing w:before="0" w:beforeAutospacing="0" w:after="0" w:afterAutospacing="0"/>
        <w:ind w:left="465"/>
        <w:textAlignment w:val="baseline"/>
        <w:rPr>
          <w:rFonts w:asciiTheme="minorHAnsi" w:hAnsiTheme="minorHAnsi" w:cs="Arial"/>
          <w:color w:val="000000"/>
          <w:sz w:val="22"/>
          <w:szCs w:val="22"/>
        </w:rPr>
      </w:pPr>
      <w:r w:rsidRPr="008112B8">
        <w:rPr>
          <w:rFonts w:asciiTheme="minorHAnsi" w:hAnsiTheme="minorHAnsi" w:cs="Arial"/>
          <w:color w:val="1F1F1F"/>
          <w:sz w:val="22"/>
          <w:szCs w:val="22"/>
        </w:rPr>
        <w:t>This limit allows small-scale artisans or businesses testing a new product idea to operate temporarily, validating market demand with minimal commitment.</w:t>
      </w:r>
      <w:r w:rsidRPr="008112B8">
        <w:rPr>
          <w:rFonts w:asciiTheme="minorHAnsi" w:hAnsiTheme="minorHAnsi" w:cs="Arial"/>
          <w:color w:val="444746"/>
          <w:sz w:val="14"/>
          <w:szCs w:val="14"/>
          <w:vertAlign w:val="superscript"/>
        </w:rPr>
        <w:t>8</w:t>
      </w:r>
    </w:p>
    <w:p w:rsidR="008112B8" w:rsidRPr="008112B8" w:rsidRDefault="008112B8" w:rsidP="008112B8">
      <w:pPr>
        <w:pStyle w:val="NormalWeb"/>
        <w:numPr>
          <w:ilvl w:val="0"/>
          <w:numId w:val="39"/>
        </w:numPr>
        <w:spacing w:before="0" w:beforeAutospacing="0" w:after="0" w:afterAutospacing="0"/>
        <w:ind w:left="465"/>
        <w:textAlignment w:val="baseline"/>
        <w:rPr>
          <w:rFonts w:asciiTheme="minorHAnsi" w:hAnsiTheme="minorHAnsi" w:cs="Arial"/>
          <w:color w:val="000000"/>
          <w:sz w:val="22"/>
          <w:szCs w:val="22"/>
        </w:rPr>
      </w:pPr>
      <w:r w:rsidRPr="008112B8">
        <w:rPr>
          <w:rFonts w:asciiTheme="minorHAnsi" w:hAnsiTheme="minorHAnsi" w:cs="Arial"/>
          <w:color w:val="1F1F1F"/>
          <w:sz w:val="22"/>
          <w:szCs w:val="22"/>
        </w:rPr>
        <w:t xml:space="preserve">However, the limit is fundamentally restrictive and unsustainable for any vendor intending to run a serious, full-time business. The moment a vendor requires </w:t>
      </w:r>
      <w:proofErr w:type="gramStart"/>
      <w:r w:rsidRPr="008112B8">
        <w:rPr>
          <w:rFonts w:asciiTheme="minorHAnsi" w:hAnsiTheme="minorHAnsi" w:cs="Arial"/>
          <w:b/>
          <w:bCs/>
          <w:color w:val="1F1F1F"/>
          <w:sz w:val="22"/>
          <w:szCs w:val="22"/>
        </w:rPr>
        <w:t>scale</w:t>
      </w:r>
      <w:r w:rsidRPr="008112B8">
        <w:rPr>
          <w:rFonts w:asciiTheme="minorHAnsi" w:hAnsiTheme="minorHAnsi" w:cs="Arial"/>
          <w:color w:val="1F1F1F"/>
          <w:sz w:val="22"/>
          <w:szCs w:val="22"/>
        </w:rPr>
        <w:t>—</w:t>
      </w:r>
      <w:proofErr w:type="gramEnd"/>
      <w:r w:rsidRPr="008112B8">
        <w:rPr>
          <w:rFonts w:asciiTheme="minorHAnsi" w:hAnsiTheme="minorHAnsi" w:cs="Arial"/>
          <w:color w:val="1F1F1F"/>
          <w:sz w:val="22"/>
          <w:szCs w:val="22"/>
        </w:rPr>
        <w:t>the ability to list their full inventory—they encounter a non-negotiable friction point that forces conversion.</w:t>
      </w:r>
    </w:p>
    <w:p w:rsidR="008112B8" w:rsidRPr="008112B8" w:rsidRDefault="008112B8" w:rsidP="008112B8">
      <w:pPr>
        <w:pStyle w:val="NormalWeb"/>
        <w:numPr>
          <w:ilvl w:val="0"/>
          <w:numId w:val="39"/>
        </w:numPr>
        <w:spacing w:before="0" w:beforeAutospacing="0" w:after="120" w:afterAutospacing="0"/>
        <w:ind w:left="465"/>
        <w:textAlignment w:val="baseline"/>
        <w:rPr>
          <w:rFonts w:asciiTheme="minorHAnsi" w:hAnsiTheme="minorHAnsi" w:cs="Arial"/>
          <w:color w:val="000000"/>
          <w:sz w:val="22"/>
          <w:szCs w:val="22"/>
        </w:rPr>
      </w:pPr>
      <w:r w:rsidRPr="008112B8">
        <w:rPr>
          <w:rFonts w:asciiTheme="minorHAnsi" w:hAnsiTheme="minorHAnsi" w:cs="Arial"/>
          <w:color w:val="1F1F1F"/>
          <w:sz w:val="22"/>
          <w:szCs w:val="22"/>
        </w:rPr>
        <w:t xml:space="preserve">The conversion strategy is thus triggered by </w:t>
      </w:r>
      <w:r w:rsidRPr="008112B8">
        <w:rPr>
          <w:rFonts w:asciiTheme="minorHAnsi" w:hAnsiTheme="minorHAnsi" w:cs="Arial"/>
          <w:b/>
          <w:bCs/>
          <w:color w:val="1F1F1F"/>
          <w:sz w:val="22"/>
          <w:szCs w:val="22"/>
        </w:rPr>
        <w:t>usage</w:t>
      </w:r>
      <w:r w:rsidRPr="008112B8">
        <w:rPr>
          <w:rFonts w:asciiTheme="minorHAnsi" w:hAnsiTheme="minorHAnsi" w:cs="Arial"/>
          <w:color w:val="1F1F1F"/>
          <w:sz w:val="22"/>
          <w:szCs w:val="22"/>
        </w:rPr>
        <w:t>, not just the 30-day time limit.</w:t>
      </w:r>
      <w:r w:rsidRPr="008112B8">
        <w:rPr>
          <w:rFonts w:asciiTheme="minorHAnsi" w:hAnsiTheme="minorHAnsi" w:cs="Arial"/>
          <w:color w:val="444746"/>
          <w:sz w:val="14"/>
          <w:szCs w:val="14"/>
          <w:vertAlign w:val="superscript"/>
        </w:rPr>
        <w:t>12</w:t>
      </w:r>
      <w:r w:rsidRPr="008112B8">
        <w:rPr>
          <w:rFonts w:asciiTheme="minorHAnsi" w:hAnsiTheme="minorHAnsi" w:cs="Arial"/>
          <w:color w:val="1F1F1F"/>
          <w:sz w:val="22"/>
          <w:szCs w:val="22"/>
        </w:rPr>
        <w:t xml:space="preserve"> When a Vendor attempts to upload their 11th product, a contextual, in-app upgrade modal must immediately explain that the R199 Standard Tier unlocks unlimited growth.</w:t>
      </w:r>
      <w:r w:rsidRPr="008112B8">
        <w:rPr>
          <w:rFonts w:asciiTheme="minorHAnsi" w:hAnsiTheme="minorHAnsi" w:cs="Arial"/>
          <w:color w:val="444746"/>
          <w:sz w:val="14"/>
          <w:szCs w:val="14"/>
          <w:vertAlign w:val="superscript"/>
        </w:rPr>
        <w:t>12</w:t>
      </w:r>
      <w:r w:rsidRPr="008112B8">
        <w:rPr>
          <w:rFonts w:asciiTheme="minorHAnsi" w:hAnsiTheme="minorHAnsi" w:cs="Arial"/>
          <w:color w:val="1F1F1F"/>
          <w:sz w:val="22"/>
          <w:szCs w:val="22"/>
        </w:rPr>
        <w:t xml:space="preserve"> This moment, where the vendor has already experienced success but requires expansion, is the optimal point for a high-quality conversion.</w:t>
      </w:r>
    </w:p>
    <w:p w:rsidR="008112B8" w:rsidRPr="008112B8" w:rsidRDefault="008112B8" w:rsidP="008112B8">
      <w:pPr>
        <w:pStyle w:val="NormalWeb"/>
        <w:spacing w:before="240" w:beforeAutospacing="0" w:after="240" w:afterAutospacing="0"/>
        <w:rPr>
          <w:rFonts w:asciiTheme="minorHAnsi" w:hAnsiTheme="minorHAnsi"/>
        </w:rPr>
      </w:pPr>
      <w:r w:rsidRPr="008112B8">
        <w:rPr>
          <w:rFonts w:asciiTheme="minorHAnsi" w:hAnsiTheme="minorHAnsi"/>
          <w:color w:val="1F1F1F"/>
          <w:sz w:val="22"/>
          <w:szCs w:val="22"/>
        </w:rPr>
        <w:t xml:space="preserve">Given that typical freemium-to-paid conversion rates for B2B SaaS hover between 2.6% and 15% </w:t>
      </w:r>
      <w:r w:rsidRPr="008112B8">
        <w:rPr>
          <w:rFonts w:asciiTheme="minorHAnsi" w:hAnsiTheme="minorHAnsi"/>
          <w:color w:val="444746"/>
          <w:sz w:val="14"/>
          <w:szCs w:val="14"/>
          <w:vertAlign w:val="superscript"/>
        </w:rPr>
        <w:t>14</w:t>
      </w:r>
      <w:r w:rsidRPr="008112B8">
        <w:rPr>
          <w:rFonts w:asciiTheme="minorHAnsi" w:hAnsiTheme="minorHAnsi"/>
          <w:color w:val="1F1F1F"/>
          <w:sz w:val="22"/>
          <w:szCs w:val="22"/>
        </w:rPr>
        <w:t>, the MVP must be aggressive in driving R0 users past this 10-item bottleneck to achieve the target conversion rate of 10%–12%.</w:t>
      </w:r>
    </w:p>
    <w:p w:rsidR="008112B8" w:rsidRPr="008112B8" w:rsidRDefault="008112B8" w:rsidP="008112B8"/>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2. The Standard Store Tier (R199): Defining the Utility Paywall</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The Standard Store Tier (R199) is designed to convert the successful trial user who has validated demand into a paying, operational customer. This tier defines the core operational utility of the </w:t>
      </w:r>
      <w:proofErr w:type="spellStart"/>
      <w:r w:rsidRPr="008112B8">
        <w:rPr>
          <w:rFonts w:asciiTheme="minorHAnsi" w:hAnsiTheme="minorHAnsi"/>
          <w:color w:val="1F1F1F"/>
          <w:sz w:val="22"/>
          <w:szCs w:val="22"/>
        </w:rPr>
        <w:t>ReachHub</w:t>
      </w:r>
      <w:proofErr w:type="spellEnd"/>
      <w:r w:rsidRPr="008112B8">
        <w:rPr>
          <w:rFonts w:asciiTheme="minorHAnsi" w:hAnsiTheme="minorHAnsi"/>
          <w:color w:val="1F1F1F"/>
          <w:sz w:val="22"/>
          <w:szCs w:val="22"/>
        </w:rPr>
        <w:t xml:space="preserve"> marketplace.</w:t>
      </w:r>
    </w:p>
    <w:p w:rsidR="008112B8" w:rsidRPr="008112B8" w:rsidRDefault="008112B8" w:rsidP="008112B8"/>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t>Value Proposition: Scale and Efficiency</w:t>
      </w:r>
    </w:p>
    <w:p w:rsidR="008112B8" w:rsidRPr="008112B8" w:rsidRDefault="008112B8" w:rsidP="008112B8"/>
    <w:p w:rsidR="008112B8" w:rsidRPr="008112B8" w:rsidRDefault="008112B8" w:rsidP="008112B8">
      <w:pPr>
        <w:pStyle w:val="NormalWeb"/>
        <w:spacing w:before="0" w:beforeAutospacing="0" w:after="120" w:afterAutospacing="0"/>
        <w:rPr>
          <w:rFonts w:asciiTheme="minorHAnsi" w:hAnsiTheme="minorHAnsi"/>
        </w:rPr>
      </w:pPr>
      <w:r w:rsidRPr="008112B8">
        <w:rPr>
          <w:rFonts w:asciiTheme="minorHAnsi" w:hAnsiTheme="minorHAnsi"/>
          <w:color w:val="1F1F1F"/>
          <w:sz w:val="22"/>
          <w:szCs w:val="22"/>
        </w:rPr>
        <w:t>This tier unlocks the necessary tools for running a consistent, scalable local e-commerce operation:</w:t>
      </w:r>
    </w:p>
    <w:p w:rsidR="008112B8" w:rsidRPr="008112B8" w:rsidRDefault="008112B8" w:rsidP="008112B8">
      <w:pPr>
        <w:pStyle w:val="NormalWeb"/>
        <w:numPr>
          <w:ilvl w:val="0"/>
          <w:numId w:val="40"/>
        </w:numPr>
        <w:spacing w:before="0" w:beforeAutospacing="0" w:after="0" w:afterAutospacing="0"/>
        <w:ind w:left="465"/>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 xml:space="preserve">Unlimited </w:t>
      </w:r>
      <w:proofErr w:type="spellStart"/>
      <w:r w:rsidRPr="008112B8">
        <w:rPr>
          <w:rFonts w:asciiTheme="minorHAnsi" w:hAnsiTheme="minorHAnsi" w:cs="Arial"/>
          <w:b/>
          <w:bCs/>
          <w:color w:val="1F1F1F"/>
          <w:sz w:val="22"/>
          <w:szCs w:val="22"/>
        </w:rPr>
        <w:t>Catalog</w:t>
      </w:r>
      <w:proofErr w:type="spellEnd"/>
      <w:r w:rsidRPr="008112B8">
        <w:rPr>
          <w:rFonts w:asciiTheme="minorHAnsi" w:hAnsiTheme="minorHAnsi" w:cs="Arial"/>
          <w:b/>
          <w:bCs/>
          <w:color w:val="1F1F1F"/>
          <w:sz w:val="22"/>
          <w:szCs w:val="22"/>
        </w:rPr>
        <w:t xml:space="preserve"> Access:</w:t>
      </w:r>
      <w:r w:rsidRPr="008112B8">
        <w:rPr>
          <w:rFonts w:asciiTheme="minorHAnsi" w:hAnsiTheme="minorHAnsi" w:cs="Arial"/>
          <w:color w:val="1F1F1F"/>
          <w:sz w:val="22"/>
          <w:szCs w:val="22"/>
        </w:rPr>
        <w:t xml:space="preserve"> This removes the primary pain point experienced in the R0 trial, allowing the vendor to fully represent their business online.</w:t>
      </w:r>
    </w:p>
    <w:p w:rsidR="008112B8" w:rsidRPr="008112B8" w:rsidRDefault="008112B8" w:rsidP="008112B8">
      <w:pPr>
        <w:pStyle w:val="NormalWeb"/>
        <w:numPr>
          <w:ilvl w:val="0"/>
          <w:numId w:val="40"/>
        </w:numPr>
        <w:spacing w:before="0" w:beforeAutospacing="0" w:after="0" w:afterAutospacing="0"/>
        <w:ind w:left="465"/>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Standard Order Management:</w:t>
      </w:r>
      <w:r w:rsidRPr="008112B8">
        <w:rPr>
          <w:rFonts w:asciiTheme="minorHAnsi" w:hAnsiTheme="minorHAnsi" w:cs="Arial"/>
          <w:color w:val="1F1F1F"/>
          <w:sz w:val="22"/>
          <w:szCs w:val="22"/>
        </w:rPr>
        <w:t xml:space="preserve"> Includes essential features like automated order notifications and status tracking, shifting the vendor from manual operations to essential automation.</w:t>
      </w:r>
    </w:p>
    <w:p w:rsidR="008112B8" w:rsidRPr="008112B8" w:rsidRDefault="008112B8" w:rsidP="008112B8">
      <w:pPr>
        <w:pStyle w:val="NormalWeb"/>
        <w:numPr>
          <w:ilvl w:val="0"/>
          <w:numId w:val="40"/>
        </w:numPr>
        <w:spacing w:before="0" w:beforeAutospacing="0" w:after="120" w:afterAutospacing="0"/>
        <w:ind w:left="465"/>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Basic Customer Communication Tools:</w:t>
      </w:r>
      <w:r w:rsidRPr="008112B8">
        <w:rPr>
          <w:rFonts w:asciiTheme="minorHAnsi" w:hAnsiTheme="minorHAnsi" w:cs="Arial"/>
          <w:color w:val="1F1F1F"/>
          <w:sz w:val="22"/>
          <w:szCs w:val="22"/>
        </w:rPr>
        <w:t xml:space="preserve"> Facilitates necessary post-order interactions.</w:t>
      </w:r>
    </w:p>
    <w:p w:rsidR="008112B8" w:rsidRPr="008112B8" w:rsidRDefault="008112B8" w:rsidP="008112B8">
      <w:pPr>
        <w:pStyle w:val="NormalWeb"/>
        <w:spacing w:before="240" w:beforeAutospacing="0" w:after="240" w:afterAutospacing="0"/>
        <w:rPr>
          <w:rFonts w:asciiTheme="minorHAnsi" w:hAnsiTheme="minorHAnsi"/>
        </w:rPr>
      </w:pPr>
      <w:r w:rsidRPr="008112B8">
        <w:rPr>
          <w:rFonts w:asciiTheme="minorHAnsi" w:hAnsiTheme="minorHAnsi"/>
          <w:color w:val="1F1F1F"/>
          <w:sz w:val="22"/>
          <w:szCs w:val="22"/>
        </w:rPr>
        <w:t>The R199 price is justified by delivering all these capabilities and instant market access for less than the cost of a typical monthly website builder and hosting package alone.</w:t>
      </w:r>
      <w:r w:rsidRPr="008112B8">
        <w:rPr>
          <w:rFonts w:asciiTheme="minorHAnsi" w:hAnsiTheme="minorHAnsi"/>
          <w:color w:val="444746"/>
          <w:sz w:val="14"/>
          <w:szCs w:val="14"/>
          <w:vertAlign w:val="superscript"/>
        </w:rPr>
        <w:t>9</w:t>
      </w:r>
    </w:p>
    <w:p w:rsidR="008112B8" w:rsidRPr="008112B8" w:rsidRDefault="008112B8" w:rsidP="008112B8"/>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3. The Pro Merchant Tier (R499): Defining the Optimization Paywall</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The Pro Merchant Tier (R499) exists to drive Average Revenue </w:t>
      </w:r>
      <w:proofErr w:type="gramStart"/>
      <w:r w:rsidRPr="008112B8">
        <w:rPr>
          <w:rFonts w:asciiTheme="minorHAnsi" w:hAnsiTheme="minorHAnsi"/>
          <w:color w:val="1F1F1F"/>
          <w:sz w:val="22"/>
          <w:szCs w:val="22"/>
        </w:rPr>
        <w:t>Per</w:t>
      </w:r>
      <w:proofErr w:type="gramEnd"/>
      <w:r w:rsidRPr="008112B8">
        <w:rPr>
          <w:rFonts w:asciiTheme="minorHAnsi" w:hAnsiTheme="minorHAnsi"/>
          <w:color w:val="1F1F1F"/>
          <w:sz w:val="22"/>
          <w:szCs w:val="22"/>
        </w:rPr>
        <w:t xml:space="preserve"> User (ARPU) growth by appealing to vendors who are focused on business optimization and superior risk management, rather than merely maintaining operations.</w:t>
      </w:r>
    </w:p>
    <w:p w:rsidR="008112B8" w:rsidRPr="008112B8" w:rsidRDefault="008112B8" w:rsidP="008112B8"/>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t>Justification for Premium Price</w:t>
      </w:r>
    </w:p>
    <w:p w:rsidR="008112B8" w:rsidRPr="008112B8" w:rsidRDefault="008112B8" w:rsidP="008112B8"/>
    <w:p w:rsidR="008112B8" w:rsidRPr="008112B8" w:rsidRDefault="008112B8" w:rsidP="008112B8">
      <w:pPr>
        <w:pStyle w:val="NormalWeb"/>
        <w:spacing w:before="0" w:beforeAutospacing="0" w:after="120" w:afterAutospacing="0"/>
        <w:rPr>
          <w:rFonts w:asciiTheme="minorHAnsi" w:hAnsiTheme="minorHAnsi"/>
        </w:rPr>
      </w:pPr>
      <w:r w:rsidRPr="008112B8">
        <w:rPr>
          <w:rFonts w:asciiTheme="minorHAnsi" w:hAnsiTheme="minorHAnsi"/>
          <w:color w:val="1F1F1F"/>
          <w:sz w:val="22"/>
          <w:szCs w:val="22"/>
        </w:rPr>
        <w:t>The R499 price must be directly linked to features that demonstrably yield a strong, measurable return on investment (ROI), justifying its position as the Optimization Paywall.</w:t>
      </w:r>
    </w:p>
    <w:p w:rsidR="008112B8" w:rsidRPr="008112B8" w:rsidRDefault="008112B8" w:rsidP="008112B8">
      <w:pPr>
        <w:pStyle w:val="NormalWeb"/>
        <w:numPr>
          <w:ilvl w:val="0"/>
          <w:numId w:val="41"/>
        </w:numPr>
        <w:spacing w:before="0" w:beforeAutospacing="0" w:after="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 xml:space="preserve">Advanced Analytics (e.g., Peak Order </w:t>
      </w:r>
      <w:proofErr w:type="spellStart"/>
      <w:r w:rsidRPr="008112B8">
        <w:rPr>
          <w:rFonts w:asciiTheme="minorHAnsi" w:hAnsiTheme="minorHAnsi" w:cs="Arial"/>
          <w:b/>
          <w:bCs/>
          <w:color w:val="1F1F1F"/>
          <w:sz w:val="22"/>
          <w:szCs w:val="22"/>
        </w:rPr>
        <w:t>Heatmaps</w:t>
      </w:r>
      <w:proofErr w:type="spellEnd"/>
      <w:r w:rsidRPr="008112B8">
        <w:rPr>
          <w:rFonts w:asciiTheme="minorHAnsi" w:hAnsiTheme="minorHAnsi" w:cs="Arial"/>
          <w:b/>
          <w:bCs/>
          <w:color w:val="1F1F1F"/>
          <w:sz w:val="22"/>
          <w:szCs w:val="22"/>
        </w:rPr>
        <w:t>):</w:t>
      </w:r>
      <w:r w:rsidRPr="008112B8">
        <w:rPr>
          <w:rFonts w:asciiTheme="minorHAnsi" w:hAnsiTheme="minorHAnsi" w:cs="Arial"/>
          <w:color w:val="1F1F1F"/>
          <w:sz w:val="22"/>
          <w:szCs w:val="22"/>
        </w:rPr>
        <w:t xml:space="preserve"> This is </w:t>
      </w:r>
      <w:proofErr w:type="spellStart"/>
      <w:r w:rsidRPr="008112B8">
        <w:rPr>
          <w:rFonts w:asciiTheme="minorHAnsi" w:hAnsiTheme="minorHAnsi" w:cs="Arial"/>
          <w:color w:val="1F1F1F"/>
          <w:sz w:val="22"/>
          <w:szCs w:val="22"/>
        </w:rPr>
        <w:t>ReachHub's</w:t>
      </w:r>
      <w:proofErr w:type="spellEnd"/>
      <w:r w:rsidRPr="008112B8">
        <w:rPr>
          <w:rFonts w:asciiTheme="minorHAnsi" w:hAnsiTheme="minorHAnsi" w:cs="Arial"/>
          <w:color w:val="1F1F1F"/>
          <w:sz w:val="22"/>
          <w:szCs w:val="22"/>
        </w:rPr>
        <w:t xml:space="preserve"> unique selling proposition (UVP) for the premium tier.</w:t>
      </w:r>
      <w:r w:rsidRPr="008112B8">
        <w:rPr>
          <w:rFonts w:asciiTheme="minorHAnsi" w:hAnsiTheme="minorHAnsi" w:cs="Arial"/>
          <w:color w:val="444746"/>
          <w:sz w:val="14"/>
          <w:szCs w:val="14"/>
          <w:vertAlign w:val="superscript"/>
        </w:rPr>
        <w:t>5</w:t>
      </w:r>
      <w:r w:rsidRPr="008112B8">
        <w:rPr>
          <w:rFonts w:asciiTheme="minorHAnsi" w:hAnsiTheme="minorHAnsi" w:cs="Arial"/>
          <w:color w:val="1F1F1F"/>
          <w:sz w:val="22"/>
          <w:szCs w:val="22"/>
        </w:rPr>
        <w:t xml:space="preserve"> Generic data is insufficient; the platform must provide customized, localized, and actionable market intelligence.</w:t>
      </w:r>
      <w:r w:rsidRPr="008112B8">
        <w:rPr>
          <w:rFonts w:asciiTheme="minorHAnsi" w:hAnsiTheme="minorHAnsi" w:cs="Arial"/>
          <w:color w:val="444746"/>
          <w:sz w:val="14"/>
          <w:szCs w:val="14"/>
          <w:vertAlign w:val="superscript"/>
        </w:rPr>
        <w:t>4</w:t>
      </w:r>
      <w:r w:rsidRPr="008112B8">
        <w:rPr>
          <w:rFonts w:asciiTheme="minorHAnsi" w:hAnsiTheme="minorHAnsi" w:cs="Arial"/>
          <w:color w:val="1F1F1F"/>
          <w:sz w:val="22"/>
          <w:szCs w:val="22"/>
        </w:rPr>
        <w:t xml:space="preserve"> The use of AI-driven analytics can deliver significant ROI for SMBs, potentially cutting operational costs by up to 30% and boosting revenue by over 15%.</w:t>
      </w:r>
      <w:r w:rsidRPr="008112B8">
        <w:rPr>
          <w:rFonts w:asciiTheme="minorHAnsi" w:hAnsiTheme="minorHAnsi" w:cs="Arial"/>
          <w:color w:val="444746"/>
          <w:sz w:val="14"/>
          <w:szCs w:val="14"/>
          <w:vertAlign w:val="superscript"/>
        </w:rPr>
        <w:t>4</w:t>
      </w:r>
      <w:r w:rsidRPr="008112B8">
        <w:rPr>
          <w:rFonts w:asciiTheme="minorHAnsi" w:hAnsiTheme="minorHAnsi" w:cs="Arial"/>
          <w:color w:val="1F1F1F"/>
          <w:sz w:val="22"/>
          <w:szCs w:val="22"/>
        </w:rPr>
        <w:t xml:space="preserve"> For a vendor paying R499, the analytics must translate the fee into specific profit gains—for example, showing the optimal time slots or product pairings for running in-app promotions to guarantee a higher conversion rate.</w:t>
      </w:r>
    </w:p>
    <w:p w:rsidR="008112B8" w:rsidRPr="008112B8" w:rsidRDefault="008112B8" w:rsidP="008112B8">
      <w:pPr>
        <w:pStyle w:val="NormalWeb"/>
        <w:numPr>
          <w:ilvl w:val="0"/>
          <w:numId w:val="41"/>
        </w:numPr>
        <w:spacing w:before="0" w:beforeAutospacing="0" w:after="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Priority Customer Support:</w:t>
      </w:r>
      <w:r w:rsidRPr="008112B8">
        <w:rPr>
          <w:rFonts w:asciiTheme="minorHAnsi" w:hAnsiTheme="minorHAnsi" w:cs="Arial"/>
          <w:color w:val="1F1F1F"/>
          <w:sz w:val="22"/>
          <w:szCs w:val="22"/>
        </w:rPr>
        <w:t xml:space="preserve"> For high-volume merchants, operational stability is paramount. The risk of lost sales due to downtime or unresolved technical issues outweighs the R499 fee. Priority support minimizes this risk, making the service stickier and justifying the premium.</w:t>
      </w:r>
      <w:r w:rsidRPr="008112B8">
        <w:rPr>
          <w:rFonts w:asciiTheme="minorHAnsi" w:hAnsiTheme="minorHAnsi" w:cs="Arial"/>
          <w:color w:val="444746"/>
          <w:sz w:val="14"/>
          <w:szCs w:val="14"/>
          <w:vertAlign w:val="superscript"/>
        </w:rPr>
        <w:t>18</w:t>
      </w:r>
    </w:p>
    <w:p w:rsidR="008112B8" w:rsidRPr="008112B8" w:rsidRDefault="008112B8" w:rsidP="008112B8">
      <w:pPr>
        <w:pStyle w:val="NormalWeb"/>
        <w:numPr>
          <w:ilvl w:val="0"/>
          <w:numId w:val="41"/>
        </w:numPr>
        <w:spacing w:before="0" w:beforeAutospacing="0" w:after="12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Ability to Run Basic In-App Promotions:</w:t>
      </w:r>
      <w:r w:rsidRPr="008112B8">
        <w:rPr>
          <w:rFonts w:asciiTheme="minorHAnsi" w:hAnsiTheme="minorHAnsi" w:cs="Arial"/>
          <w:color w:val="1F1F1F"/>
          <w:sz w:val="22"/>
          <w:szCs w:val="22"/>
        </w:rPr>
        <w:t xml:space="preserve"> Giving vendors the ability to run promotions (like a "Discount of the Week") provides them with a critical marketing lever to drive short-term sales velocity, a feature often restricted to top-tier plans on established marketplaces.</w:t>
      </w:r>
      <w:r w:rsidRPr="008112B8">
        <w:rPr>
          <w:rFonts w:asciiTheme="minorHAnsi" w:hAnsiTheme="minorHAnsi" w:cs="Arial"/>
          <w:color w:val="444746"/>
          <w:sz w:val="14"/>
          <w:szCs w:val="14"/>
          <w:vertAlign w:val="superscript"/>
        </w:rPr>
        <w:t>19</w:t>
      </w:r>
    </w:p>
    <w:p w:rsidR="008112B8" w:rsidRPr="008112B8" w:rsidRDefault="008112B8" w:rsidP="008112B8">
      <w:pPr>
        <w:pStyle w:val="NormalWeb"/>
        <w:spacing w:before="240" w:beforeAutospacing="0" w:after="240" w:afterAutospacing="0"/>
        <w:rPr>
          <w:rFonts w:asciiTheme="minorHAnsi" w:hAnsiTheme="minorHAnsi"/>
        </w:rPr>
      </w:pPr>
      <w:r w:rsidRPr="008112B8">
        <w:rPr>
          <w:rFonts w:asciiTheme="minorHAnsi" w:hAnsiTheme="minorHAnsi"/>
          <w:color w:val="1F1F1F"/>
          <w:sz w:val="22"/>
          <w:szCs w:val="22"/>
        </w:rPr>
        <w:t>By segmenting the tiers according to vendor maturity—Discovery (Tier 1), Operation (Tier 2), and Optimization (Tier 3)—the pricing architecture ensures that fees scale linearly with the verifiable value the vendor derives from the platform.</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Table 1 provides a clear overview of the strategic positioning of the </w:t>
      </w:r>
      <w:proofErr w:type="spellStart"/>
      <w:r w:rsidRPr="008112B8">
        <w:rPr>
          <w:rFonts w:asciiTheme="minorHAnsi" w:hAnsiTheme="minorHAnsi"/>
          <w:color w:val="1F1F1F"/>
          <w:sz w:val="22"/>
          <w:szCs w:val="22"/>
        </w:rPr>
        <w:t>ReachHub</w:t>
      </w:r>
      <w:proofErr w:type="spellEnd"/>
      <w:r w:rsidRPr="008112B8">
        <w:rPr>
          <w:rFonts w:asciiTheme="minorHAnsi" w:hAnsiTheme="minorHAnsi"/>
          <w:color w:val="1F1F1F"/>
          <w:sz w:val="22"/>
          <w:szCs w:val="22"/>
        </w:rPr>
        <w:t xml:space="preserve"> pricing against local competitive options, while Table 2 details the architecture of the tiered system and its conversion mechanics.</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Table 1: Competitive E-commerce SaaS Pricing Benchmarks (South Africa)</w:t>
      </w:r>
    </w:p>
    <w:p w:rsidR="008112B8" w:rsidRPr="008112B8" w:rsidRDefault="008112B8" w:rsidP="008112B8"/>
    <w:tbl>
      <w:tblPr>
        <w:tblW w:w="0" w:type="auto"/>
        <w:tblCellMar>
          <w:top w:w="15" w:type="dxa"/>
          <w:left w:w="15" w:type="dxa"/>
          <w:bottom w:w="15" w:type="dxa"/>
          <w:right w:w="15" w:type="dxa"/>
        </w:tblCellMar>
        <w:tblLook w:val="04A0" w:firstRow="1" w:lastRow="0" w:firstColumn="1" w:lastColumn="0" w:noHBand="0" w:noVBand="1"/>
      </w:tblPr>
      <w:tblGrid>
        <w:gridCol w:w="2014"/>
        <w:gridCol w:w="1317"/>
        <w:gridCol w:w="1367"/>
        <w:gridCol w:w="2330"/>
        <w:gridCol w:w="2358"/>
      </w:tblGrid>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Platform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Starting Price (R)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Upfront Cost (R)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Value Proposition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proofErr w:type="spellStart"/>
            <w:r w:rsidRPr="008112B8">
              <w:rPr>
                <w:rFonts w:asciiTheme="minorHAnsi" w:hAnsiTheme="minorHAnsi"/>
                <w:b/>
                <w:bCs/>
                <w:color w:val="1F1F1F"/>
                <w:sz w:val="22"/>
                <w:szCs w:val="22"/>
              </w:rPr>
              <w:t>ReachHub</w:t>
            </w:r>
            <w:proofErr w:type="spellEnd"/>
            <w:r w:rsidRPr="008112B8">
              <w:rPr>
                <w:rFonts w:asciiTheme="minorHAnsi" w:hAnsiTheme="minorHAnsi"/>
                <w:b/>
                <w:bCs/>
                <w:color w:val="1F1F1F"/>
                <w:sz w:val="22"/>
                <w:szCs w:val="22"/>
              </w:rPr>
              <w:t xml:space="preserve"> Target Validation</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0" w:beforeAutospacing="0" w:after="0" w:afterAutospacing="0" w:line="0" w:lineRule="atLeast"/>
              <w:rPr>
                <w:rFonts w:asciiTheme="minorHAnsi" w:hAnsiTheme="minorHAnsi"/>
              </w:rPr>
            </w:pPr>
            <w:r w:rsidRPr="008112B8">
              <w:rPr>
                <w:rFonts w:asciiTheme="minorHAnsi" w:hAnsiTheme="minorHAnsi"/>
                <w:color w:val="1F1F1F"/>
                <w:sz w:val="22"/>
                <w:szCs w:val="22"/>
              </w:rPr>
              <w:t xml:space="preserve">Local Builder (Starter) </w:t>
            </w:r>
            <w:r w:rsidRPr="008112B8">
              <w:rPr>
                <w:rFonts w:asciiTheme="minorHAnsi" w:hAnsiTheme="minorHAnsi"/>
                <w:color w:val="444746"/>
                <w:sz w:val="14"/>
                <w:szCs w:val="14"/>
                <w:vertAlign w:val="superscript"/>
              </w:rPr>
              <w:t>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R110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R0 – R6,000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Basic store setup, lowest barrier to entry.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Sets the low-end R99 floor.</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0" w:beforeAutospacing="0" w:after="0" w:afterAutospacing="0" w:line="0" w:lineRule="atLeast"/>
              <w:rPr>
                <w:rFonts w:asciiTheme="minorHAnsi" w:hAnsiTheme="minorHAnsi"/>
              </w:rPr>
            </w:pPr>
            <w:r w:rsidRPr="008112B8">
              <w:rPr>
                <w:rFonts w:asciiTheme="minorHAnsi" w:hAnsiTheme="minorHAnsi"/>
                <w:color w:val="1F1F1F"/>
                <w:sz w:val="22"/>
                <w:szCs w:val="22"/>
              </w:rPr>
              <w:t xml:space="preserve">Established SME SaaS (SA-focused) </w:t>
            </w:r>
            <w:r w:rsidRPr="008112B8">
              <w:rPr>
                <w:rFonts w:asciiTheme="minorHAnsi" w:hAnsiTheme="minorHAnsi"/>
                <w:color w:val="444746"/>
                <w:sz w:val="14"/>
                <w:szCs w:val="14"/>
                <w:vertAlign w:val="superscript"/>
              </w:rPr>
              <w:t>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R296 – R382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Includes gateway, moderate scaling tools.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Validates the R199 Standard Tier.</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0" w:beforeAutospacing="0" w:after="0" w:afterAutospacing="0" w:line="0" w:lineRule="atLeast"/>
              <w:rPr>
                <w:rFonts w:asciiTheme="minorHAnsi" w:hAnsiTheme="minorHAnsi"/>
              </w:rPr>
            </w:pPr>
            <w:r w:rsidRPr="008112B8">
              <w:rPr>
                <w:rFonts w:asciiTheme="minorHAnsi" w:hAnsiTheme="minorHAnsi"/>
                <w:color w:val="1F1F1F"/>
                <w:sz w:val="22"/>
                <w:szCs w:val="22"/>
              </w:rPr>
              <w:t xml:space="preserve">Semi-Custom SME Build </w:t>
            </w:r>
            <w:r w:rsidRPr="008112B8">
              <w:rPr>
                <w:rFonts w:asciiTheme="minorHAnsi" w:hAnsiTheme="minorHAnsi"/>
                <w:color w:val="444746"/>
                <w:sz w:val="14"/>
                <w:szCs w:val="14"/>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R0 – R500+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R30,000 – R85,000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Highly customized, requires significant capital.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 xml:space="preserve">Justifies </w:t>
            </w:r>
            <w:proofErr w:type="spellStart"/>
            <w:r w:rsidRPr="008112B8">
              <w:rPr>
                <w:rFonts w:asciiTheme="minorHAnsi" w:hAnsiTheme="minorHAnsi"/>
                <w:color w:val="1F1F1F"/>
                <w:sz w:val="22"/>
                <w:szCs w:val="22"/>
              </w:rPr>
              <w:t>ReachHub's</w:t>
            </w:r>
            <w:proofErr w:type="spellEnd"/>
            <w:r w:rsidRPr="008112B8">
              <w:rPr>
                <w:rFonts w:asciiTheme="minorHAnsi" w:hAnsiTheme="minorHAnsi"/>
                <w:color w:val="1F1F1F"/>
                <w:sz w:val="22"/>
                <w:szCs w:val="22"/>
              </w:rPr>
              <w:t xml:space="preserve"> core low-CAPEX advantage.</w:t>
            </w:r>
          </w:p>
        </w:tc>
      </w:tr>
    </w:tbl>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lastRenderedPageBreak/>
        <w:t>Table 2: Refined MVP Subscription Tier Structure and Conversion Triggers</w:t>
      </w:r>
    </w:p>
    <w:p w:rsidR="008112B8" w:rsidRPr="008112B8" w:rsidRDefault="008112B8" w:rsidP="008112B8"/>
    <w:tbl>
      <w:tblPr>
        <w:tblW w:w="0" w:type="auto"/>
        <w:tblCellMar>
          <w:top w:w="15" w:type="dxa"/>
          <w:left w:w="15" w:type="dxa"/>
          <w:bottom w:w="15" w:type="dxa"/>
          <w:right w:w="15" w:type="dxa"/>
        </w:tblCellMar>
        <w:tblLook w:val="04A0" w:firstRow="1" w:lastRow="0" w:firstColumn="1" w:lastColumn="0" w:noHBand="0" w:noVBand="1"/>
      </w:tblPr>
      <w:tblGrid>
        <w:gridCol w:w="1567"/>
        <w:gridCol w:w="1880"/>
        <w:gridCol w:w="2386"/>
        <w:gridCol w:w="1821"/>
        <w:gridCol w:w="1732"/>
      </w:tblGrid>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Subscription Tier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Monthly Fee (R)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Key Feature Gating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Primary Conversion Mechanism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Value Proposition</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Tier 1: Basic Access (Trial)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R0 (30 Days)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Max 10 Product Listings; Basic Manual Order 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0" w:beforeAutospacing="0" w:after="0" w:afterAutospacing="0" w:line="0" w:lineRule="atLeast"/>
              <w:rPr>
                <w:rFonts w:asciiTheme="minorHAnsi" w:hAnsiTheme="minorHAnsi"/>
              </w:rPr>
            </w:pPr>
            <w:r w:rsidRPr="008112B8">
              <w:rPr>
                <w:rFonts w:asciiTheme="minorHAnsi" w:hAnsiTheme="minorHAnsi"/>
                <w:color w:val="1F1F1F"/>
                <w:sz w:val="22"/>
                <w:szCs w:val="22"/>
              </w:rPr>
              <w:t xml:space="preserve">Time (30 days) and </w:t>
            </w:r>
            <w:r w:rsidRPr="008112B8">
              <w:rPr>
                <w:rFonts w:asciiTheme="minorHAnsi" w:hAnsiTheme="minorHAnsi"/>
                <w:b/>
                <w:bCs/>
                <w:color w:val="1F1F1F"/>
                <w:sz w:val="22"/>
                <w:szCs w:val="22"/>
              </w:rPr>
              <w:t>Usage (Attempting 11th product upload)</w:t>
            </w:r>
            <w:r w:rsidRPr="008112B8">
              <w:rPr>
                <w:rFonts w:asciiTheme="minorHAnsi" w:hAnsiTheme="minorHAnsi"/>
                <w:color w:val="1F1F1F"/>
                <w:sz w:val="22"/>
                <w:szCs w:val="22"/>
              </w:rPr>
              <w:t>.</w:t>
            </w:r>
            <w:r w:rsidRPr="008112B8">
              <w:rPr>
                <w:rFonts w:asciiTheme="minorHAnsi" w:hAnsiTheme="minorHAnsi"/>
                <w:color w:val="444746"/>
                <w:sz w:val="14"/>
                <w:szCs w:val="14"/>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Zero-risk entry; rapid Time to First Value (TTFV).</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Tier 2: Standard Store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R199 (Recommended)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 xml:space="preserve">Full </w:t>
            </w:r>
            <w:proofErr w:type="spellStart"/>
            <w:r w:rsidRPr="008112B8">
              <w:rPr>
                <w:rFonts w:asciiTheme="minorHAnsi" w:hAnsiTheme="minorHAnsi"/>
                <w:color w:val="1F1F1F"/>
                <w:sz w:val="22"/>
                <w:szCs w:val="22"/>
              </w:rPr>
              <w:t>Catalog</w:t>
            </w:r>
            <w:proofErr w:type="spellEnd"/>
            <w:r w:rsidRPr="008112B8">
              <w:rPr>
                <w:rFonts w:asciiTheme="minorHAnsi" w:hAnsiTheme="minorHAnsi"/>
                <w:color w:val="1F1F1F"/>
                <w:sz w:val="22"/>
                <w:szCs w:val="22"/>
              </w:rPr>
              <w:t xml:space="preserve"> Access; Automated Order Notifications.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 xml:space="preserve">Necessity of </w:t>
            </w:r>
            <w:r w:rsidRPr="008112B8">
              <w:rPr>
                <w:rFonts w:asciiTheme="minorHAnsi" w:hAnsiTheme="minorHAnsi"/>
                <w:b/>
                <w:bCs/>
                <w:color w:val="1F1F1F"/>
                <w:sz w:val="22"/>
                <w:szCs w:val="22"/>
              </w:rPr>
              <w:t>Scale</w:t>
            </w:r>
            <w:r w:rsidRPr="008112B8">
              <w:rPr>
                <w:rFonts w:asciiTheme="minorHAnsi" w:hAnsiTheme="minorHAnsi"/>
                <w:color w:val="1F1F1F"/>
                <w:sz w:val="22"/>
                <w:szCs w:val="22"/>
              </w:rPr>
              <w:t xml:space="preserve"> and </w:t>
            </w:r>
            <w:r w:rsidRPr="008112B8">
              <w:rPr>
                <w:rFonts w:asciiTheme="minorHAnsi" w:hAnsiTheme="minorHAnsi"/>
                <w:b/>
                <w:bCs/>
                <w:color w:val="1F1F1F"/>
                <w:sz w:val="22"/>
                <w:szCs w:val="22"/>
              </w:rPr>
              <w:t>Operational Efficiency</w:t>
            </w:r>
            <w:r w:rsidRPr="008112B8">
              <w:rPr>
                <w:rFonts w:asciiTheme="minorHAnsi" w:hAnsiTheme="minorHAnsi"/>
                <w:color w:val="1F1F1F"/>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Full digital presence; enablement for growth.</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Tier 3: Pro Merchant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R499 (Recommended)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Advanced Analytics/</w:t>
            </w:r>
            <w:proofErr w:type="spellStart"/>
            <w:r w:rsidRPr="008112B8">
              <w:rPr>
                <w:rFonts w:asciiTheme="minorHAnsi" w:hAnsiTheme="minorHAnsi"/>
                <w:color w:val="1F1F1F"/>
                <w:sz w:val="22"/>
                <w:szCs w:val="22"/>
              </w:rPr>
              <w:t>Heatmaps</w:t>
            </w:r>
            <w:proofErr w:type="spellEnd"/>
            <w:r w:rsidRPr="008112B8">
              <w:rPr>
                <w:rFonts w:asciiTheme="minorHAnsi" w:hAnsiTheme="minorHAnsi"/>
                <w:color w:val="1F1F1F"/>
                <w:sz w:val="22"/>
                <w:szCs w:val="22"/>
              </w:rPr>
              <w:t>; Priority Support.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 xml:space="preserve">Necessity of </w:t>
            </w:r>
            <w:r w:rsidRPr="008112B8">
              <w:rPr>
                <w:rFonts w:asciiTheme="minorHAnsi" w:hAnsiTheme="minorHAnsi"/>
                <w:b/>
                <w:bCs/>
                <w:color w:val="1F1F1F"/>
                <w:sz w:val="22"/>
                <w:szCs w:val="22"/>
              </w:rPr>
              <w:t>Optimization</w:t>
            </w:r>
            <w:r w:rsidRPr="008112B8">
              <w:rPr>
                <w:rFonts w:asciiTheme="minorHAnsi" w:hAnsiTheme="minorHAnsi"/>
                <w:color w:val="1F1F1F"/>
                <w:sz w:val="22"/>
                <w:szCs w:val="22"/>
              </w:rPr>
              <w:t xml:space="preserve"> and </w:t>
            </w:r>
            <w:r w:rsidRPr="008112B8">
              <w:rPr>
                <w:rFonts w:asciiTheme="minorHAnsi" w:hAnsiTheme="minorHAnsi"/>
                <w:b/>
                <w:bCs/>
                <w:color w:val="1F1F1F"/>
                <w:sz w:val="22"/>
                <w:szCs w:val="22"/>
              </w:rPr>
              <w:t>Risk Reduction</w:t>
            </w:r>
            <w:r w:rsidRPr="008112B8">
              <w:rPr>
                <w:rFonts w:asciiTheme="minorHAnsi" w:hAnsiTheme="minorHAnsi"/>
                <w:color w:val="1F1F1F"/>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0" w:beforeAutospacing="0" w:after="0" w:afterAutospacing="0" w:line="0" w:lineRule="atLeast"/>
              <w:rPr>
                <w:rFonts w:asciiTheme="minorHAnsi" w:hAnsiTheme="minorHAnsi"/>
              </w:rPr>
            </w:pPr>
            <w:r w:rsidRPr="008112B8">
              <w:rPr>
                <w:rFonts w:asciiTheme="minorHAnsi" w:hAnsiTheme="minorHAnsi"/>
                <w:color w:val="1F1F1F"/>
                <w:sz w:val="22"/>
                <w:szCs w:val="22"/>
              </w:rPr>
              <w:t>Data-driven decision making; maximized profitability.</w:t>
            </w:r>
            <w:r w:rsidRPr="008112B8">
              <w:rPr>
                <w:rFonts w:asciiTheme="minorHAnsi" w:hAnsiTheme="minorHAnsi"/>
                <w:color w:val="444746"/>
                <w:sz w:val="14"/>
                <w:szCs w:val="14"/>
                <w:vertAlign w:val="superscript"/>
              </w:rPr>
              <w:t>4</w:t>
            </w:r>
          </w:p>
        </w:tc>
      </w:tr>
    </w:tbl>
    <w:p w:rsidR="008112B8" w:rsidRPr="008112B8" w:rsidRDefault="008112B8" w:rsidP="008112B8"/>
    <w:p w:rsidR="008112B8" w:rsidRPr="008112B8" w:rsidRDefault="008112B8" w:rsidP="008112B8">
      <w:pPr>
        <w:pStyle w:val="Heading2"/>
        <w:spacing w:before="0" w:beforeAutospacing="0" w:after="120" w:afterAutospacing="0"/>
        <w:rPr>
          <w:rFonts w:asciiTheme="minorHAnsi" w:hAnsiTheme="minorHAnsi"/>
        </w:rPr>
      </w:pPr>
      <w:r w:rsidRPr="008112B8">
        <w:rPr>
          <w:rFonts w:asciiTheme="minorHAnsi" w:hAnsiTheme="minorHAnsi"/>
          <w:color w:val="1F1F1F"/>
        </w:rPr>
        <w:t>III. Core Financial Metrics (KPI) and Retention Strategy</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The long-term sustainability of the MVP is measured by key SaaS financial metrics, primarily focused on the growth quality of the subscriber base and the minimization of attrition.</w:t>
      </w:r>
    </w:p>
    <w:p w:rsidR="008112B8" w:rsidRPr="008112B8" w:rsidRDefault="008112B8" w:rsidP="008112B8"/>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 xml:space="preserve">1. Monthly Recurring Revenue (MRR) and Average Revenue </w:t>
      </w:r>
      <w:proofErr w:type="gramStart"/>
      <w:r w:rsidRPr="008112B8">
        <w:rPr>
          <w:rFonts w:asciiTheme="minorHAnsi" w:hAnsiTheme="minorHAnsi"/>
          <w:color w:val="1F1F1F"/>
          <w:sz w:val="28"/>
          <w:szCs w:val="28"/>
        </w:rPr>
        <w:t>Per</w:t>
      </w:r>
      <w:proofErr w:type="gramEnd"/>
      <w:r w:rsidRPr="008112B8">
        <w:rPr>
          <w:rFonts w:asciiTheme="minorHAnsi" w:hAnsiTheme="minorHAnsi"/>
          <w:color w:val="1F1F1F"/>
          <w:sz w:val="28"/>
          <w:szCs w:val="28"/>
        </w:rPr>
        <w:t xml:space="preserve"> User (ARPU)</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MRR is the core metric for proving the model’s financial consistency.</w:t>
      </w:r>
      <w:r w:rsidRPr="008112B8">
        <w:rPr>
          <w:rFonts w:asciiTheme="minorHAnsi" w:hAnsiTheme="minorHAnsi"/>
          <w:color w:val="444746"/>
          <w:sz w:val="14"/>
          <w:szCs w:val="14"/>
          <w:vertAlign w:val="superscript"/>
        </w:rPr>
        <w:t>7</w:t>
      </w:r>
      <w:r w:rsidRPr="008112B8">
        <w:rPr>
          <w:rFonts w:asciiTheme="minorHAnsi" w:hAnsiTheme="minorHAnsi"/>
          <w:color w:val="1F1F1F"/>
          <w:sz w:val="22"/>
          <w:szCs w:val="22"/>
        </w:rPr>
        <w:t xml:space="preserve"> </w:t>
      </w:r>
      <w:proofErr w:type="gramStart"/>
      <w:r w:rsidRPr="008112B8">
        <w:rPr>
          <w:rFonts w:asciiTheme="minorHAnsi" w:hAnsiTheme="minorHAnsi"/>
          <w:color w:val="1F1F1F"/>
          <w:sz w:val="22"/>
          <w:szCs w:val="22"/>
        </w:rPr>
        <w:t>The</w:t>
      </w:r>
      <w:proofErr w:type="gramEnd"/>
      <w:r w:rsidRPr="008112B8">
        <w:rPr>
          <w:rFonts w:asciiTheme="minorHAnsi" w:hAnsiTheme="minorHAnsi"/>
          <w:color w:val="1F1F1F"/>
          <w:sz w:val="22"/>
          <w:szCs w:val="22"/>
        </w:rPr>
        <w:t xml:space="preserve"> growth of MRR will be primarily driven by successful conversion from R0 to R199 and successful upsells to the R499 Pro Tier, increasing the Average Revenue Per User (ARPU).</w:t>
      </w:r>
      <w:r w:rsidRPr="008112B8">
        <w:rPr>
          <w:rFonts w:asciiTheme="minorHAnsi" w:hAnsiTheme="minorHAnsi"/>
          <w:color w:val="444746"/>
          <w:sz w:val="14"/>
          <w:szCs w:val="14"/>
          <w:vertAlign w:val="superscript"/>
        </w:rPr>
        <w:t>7</w:t>
      </w:r>
    </w:p>
    <w:p w:rsidR="008112B8" w:rsidRPr="008112B8" w:rsidRDefault="008112B8" w:rsidP="008112B8"/>
    <w:p w:rsidR="000656F0" w:rsidRDefault="000656F0" w:rsidP="008112B8">
      <w:pPr>
        <w:pStyle w:val="Heading4"/>
        <w:spacing w:before="0" w:beforeAutospacing="0" w:after="120" w:afterAutospacing="0"/>
        <w:rPr>
          <w:rFonts w:asciiTheme="minorHAnsi" w:hAnsiTheme="minorHAnsi"/>
          <w:color w:val="1F1F1F"/>
        </w:rPr>
      </w:pPr>
    </w:p>
    <w:p w:rsidR="000656F0" w:rsidRDefault="000656F0" w:rsidP="008112B8">
      <w:pPr>
        <w:pStyle w:val="Heading4"/>
        <w:spacing w:before="0" w:beforeAutospacing="0" w:after="120" w:afterAutospacing="0"/>
        <w:rPr>
          <w:rFonts w:asciiTheme="minorHAnsi" w:hAnsiTheme="minorHAnsi"/>
          <w:color w:val="1F1F1F"/>
        </w:rPr>
      </w:pPr>
    </w:p>
    <w:p w:rsidR="000656F0" w:rsidRDefault="000656F0" w:rsidP="008112B8">
      <w:pPr>
        <w:pStyle w:val="Heading4"/>
        <w:spacing w:before="0" w:beforeAutospacing="0" w:after="120" w:afterAutospacing="0"/>
        <w:rPr>
          <w:rFonts w:asciiTheme="minorHAnsi" w:hAnsiTheme="minorHAnsi"/>
          <w:color w:val="1F1F1F"/>
        </w:rPr>
      </w:pPr>
    </w:p>
    <w:p w:rsidR="000656F0" w:rsidRDefault="000656F0" w:rsidP="008112B8">
      <w:pPr>
        <w:pStyle w:val="Heading4"/>
        <w:spacing w:before="0" w:beforeAutospacing="0" w:after="120" w:afterAutospacing="0"/>
        <w:rPr>
          <w:rFonts w:asciiTheme="minorHAnsi" w:hAnsiTheme="minorHAnsi"/>
          <w:color w:val="1F1F1F"/>
        </w:rPr>
      </w:pPr>
    </w:p>
    <w:p w:rsidR="000656F0" w:rsidRDefault="000656F0" w:rsidP="008112B8">
      <w:pPr>
        <w:pStyle w:val="Heading4"/>
        <w:spacing w:before="0" w:beforeAutospacing="0" w:after="120" w:afterAutospacing="0"/>
        <w:rPr>
          <w:rFonts w:asciiTheme="minorHAnsi" w:hAnsiTheme="minorHAnsi"/>
          <w:color w:val="1F1F1F"/>
        </w:rPr>
      </w:pPr>
    </w:p>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t>ARPU Growth Strategy</w:t>
      </w:r>
    </w:p>
    <w:p w:rsidR="008112B8" w:rsidRPr="008112B8" w:rsidRDefault="008112B8" w:rsidP="008112B8"/>
    <w:p w:rsidR="008112B8" w:rsidRPr="008112B8" w:rsidRDefault="008112B8" w:rsidP="008112B8">
      <w:pPr>
        <w:pStyle w:val="NormalWeb"/>
        <w:spacing w:before="0" w:beforeAutospacing="0" w:after="120" w:afterAutospacing="0"/>
        <w:rPr>
          <w:rFonts w:asciiTheme="minorHAnsi" w:hAnsiTheme="minorHAnsi"/>
        </w:rPr>
      </w:pPr>
      <w:r w:rsidRPr="008112B8">
        <w:rPr>
          <w:rFonts w:asciiTheme="minorHAnsi" w:hAnsiTheme="minorHAnsi"/>
          <w:color w:val="1F1F1F"/>
          <w:sz w:val="22"/>
          <w:szCs w:val="22"/>
        </w:rPr>
        <w:t>ARPU growth relies heavily on demonstrating the incremental value of the Pro Tier to Standard users.</w:t>
      </w:r>
    </w:p>
    <w:p w:rsidR="008112B8" w:rsidRPr="008112B8" w:rsidRDefault="008112B8" w:rsidP="008112B8">
      <w:pPr>
        <w:pStyle w:val="NormalWeb"/>
        <w:numPr>
          <w:ilvl w:val="0"/>
          <w:numId w:val="42"/>
        </w:numPr>
        <w:spacing w:before="0" w:beforeAutospacing="0" w:after="0" w:afterAutospacing="0"/>
        <w:ind w:left="465"/>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Usage-Based Upgrade Triggers:</w:t>
      </w:r>
      <w:r w:rsidRPr="008112B8">
        <w:rPr>
          <w:rFonts w:asciiTheme="minorHAnsi" w:hAnsiTheme="minorHAnsi" w:cs="Arial"/>
          <w:color w:val="1F1F1F"/>
          <w:sz w:val="22"/>
          <w:szCs w:val="22"/>
        </w:rPr>
        <w:t xml:space="preserve"> Upselling efforts must be contextual, not intrusive.</w:t>
      </w:r>
      <w:r w:rsidRPr="008112B8">
        <w:rPr>
          <w:rFonts w:asciiTheme="minorHAnsi" w:hAnsiTheme="minorHAnsi" w:cs="Arial"/>
          <w:color w:val="444746"/>
          <w:sz w:val="14"/>
          <w:szCs w:val="14"/>
          <w:vertAlign w:val="superscript"/>
        </w:rPr>
        <w:t>12</w:t>
      </w:r>
      <w:r w:rsidRPr="008112B8">
        <w:rPr>
          <w:rFonts w:asciiTheme="minorHAnsi" w:hAnsiTheme="minorHAnsi" w:cs="Arial"/>
          <w:color w:val="1F1F1F"/>
          <w:sz w:val="22"/>
          <w:szCs w:val="22"/>
        </w:rPr>
        <w:t xml:space="preserve"> </w:t>
      </w:r>
      <w:proofErr w:type="gramStart"/>
      <w:r w:rsidRPr="008112B8">
        <w:rPr>
          <w:rFonts w:asciiTheme="minorHAnsi" w:hAnsiTheme="minorHAnsi" w:cs="Arial"/>
          <w:color w:val="1F1F1F"/>
          <w:sz w:val="22"/>
          <w:szCs w:val="22"/>
        </w:rPr>
        <w:t>The</w:t>
      </w:r>
      <w:proofErr w:type="gramEnd"/>
      <w:r w:rsidRPr="008112B8">
        <w:rPr>
          <w:rFonts w:asciiTheme="minorHAnsi" w:hAnsiTheme="minorHAnsi" w:cs="Arial"/>
          <w:color w:val="1F1F1F"/>
          <w:sz w:val="22"/>
          <w:szCs w:val="22"/>
        </w:rPr>
        <w:t xml:space="preserve"> platform should track high-activity Standard users—for example, vendors with high sales volume or those frequently checking basic order metrics. When a Standard user demonstrates a need that the Pro tier solves, the platform should prompt the upgrade. For instance, if a Standard user repeatedly downloads basic sales data, an in-app prompt should highlight the superior efficiency and predictive capabilities of the Advanced Analytics dashboard.</w:t>
      </w:r>
      <w:r w:rsidRPr="008112B8">
        <w:rPr>
          <w:rFonts w:asciiTheme="minorHAnsi" w:hAnsiTheme="minorHAnsi" w:cs="Arial"/>
          <w:color w:val="444746"/>
          <w:sz w:val="14"/>
          <w:szCs w:val="14"/>
          <w:vertAlign w:val="superscript"/>
        </w:rPr>
        <w:t>6</w:t>
      </w:r>
    </w:p>
    <w:p w:rsidR="008112B8" w:rsidRPr="008112B8" w:rsidRDefault="008112B8" w:rsidP="008112B8">
      <w:pPr>
        <w:pStyle w:val="NormalWeb"/>
        <w:numPr>
          <w:ilvl w:val="0"/>
          <w:numId w:val="42"/>
        </w:numPr>
        <w:spacing w:before="0" w:beforeAutospacing="0" w:after="120" w:afterAutospacing="0"/>
        <w:ind w:left="465"/>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 xml:space="preserve">Dedicated </w:t>
      </w:r>
      <w:proofErr w:type="spellStart"/>
      <w:r w:rsidRPr="008112B8">
        <w:rPr>
          <w:rFonts w:asciiTheme="minorHAnsi" w:hAnsiTheme="minorHAnsi" w:cs="Arial"/>
          <w:b/>
          <w:bCs/>
          <w:color w:val="1F1F1F"/>
          <w:sz w:val="22"/>
          <w:szCs w:val="22"/>
        </w:rPr>
        <w:t>Onboarding</w:t>
      </w:r>
      <w:proofErr w:type="spellEnd"/>
      <w:r w:rsidRPr="008112B8">
        <w:rPr>
          <w:rFonts w:asciiTheme="minorHAnsi" w:hAnsiTheme="minorHAnsi" w:cs="Arial"/>
          <w:b/>
          <w:bCs/>
          <w:color w:val="1F1F1F"/>
          <w:sz w:val="22"/>
          <w:szCs w:val="22"/>
        </w:rPr>
        <w:t xml:space="preserve"> for Pro Merchants:</w:t>
      </w:r>
      <w:r w:rsidRPr="008112B8">
        <w:rPr>
          <w:rFonts w:asciiTheme="minorHAnsi" w:hAnsiTheme="minorHAnsi" w:cs="Arial"/>
          <w:color w:val="1F1F1F"/>
          <w:sz w:val="22"/>
          <w:szCs w:val="22"/>
        </w:rPr>
        <w:t xml:space="preserve"> The premium R499 price warrants white-glove treatment. Providing personalized </w:t>
      </w:r>
      <w:proofErr w:type="spellStart"/>
      <w:r w:rsidRPr="008112B8">
        <w:rPr>
          <w:rFonts w:asciiTheme="minorHAnsi" w:hAnsiTheme="minorHAnsi" w:cs="Arial"/>
          <w:color w:val="1F1F1F"/>
          <w:sz w:val="22"/>
          <w:szCs w:val="22"/>
        </w:rPr>
        <w:t>onboarding</w:t>
      </w:r>
      <w:proofErr w:type="spellEnd"/>
      <w:r w:rsidRPr="008112B8">
        <w:rPr>
          <w:rFonts w:asciiTheme="minorHAnsi" w:hAnsiTheme="minorHAnsi" w:cs="Arial"/>
          <w:color w:val="1F1F1F"/>
          <w:sz w:val="22"/>
          <w:szCs w:val="22"/>
        </w:rPr>
        <w:t xml:space="preserve"> or dedicated expert consultation for new Pro Merchants immediately justifies the higher fee, reduces the time taken for the vendor to realize value, and increases stickiness.</w:t>
      </w:r>
      <w:r w:rsidRPr="008112B8">
        <w:rPr>
          <w:rFonts w:asciiTheme="minorHAnsi" w:hAnsiTheme="minorHAnsi" w:cs="Arial"/>
          <w:color w:val="444746"/>
          <w:sz w:val="14"/>
          <w:szCs w:val="14"/>
          <w:vertAlign w:val="superscript"/>
        </w:rPr>
        <w:t>13</w:t>
      </w:r>
    </w:p>
    <w:p w:rsidR="008112B8" w:rsidRPr="008112B8" w:rsidRDefault="008112B8" w:rsidP="008112B8">
      <w:pPr>
        <w:rPr>
          <w:rFonts w:cs="Times New Roman"/>
          <w:sz w:val="24"/>
          <w:szCs w:val="24"/>
        </w:rPr>
      </w:pPr>
    </w:p>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2. Vendor Acquisition Cost (VAC) Efficiency and Product-Led Growth (PLG)</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The R0 trial is the primary mechanism for minimizing Vendor Acquisition Cost (VAC). The strategy focuses on driving efficient organic and paid traffic to the free tier, allowing the product experience itself to convert the user (PLG). This makes the conversion cost significantly lower than acquiring a cold paid customer.</w:t>
      </w:r>
      <w:r w:rsidRPr="008112B8">
        <w:rPr>
          <w:rFonts w:asciiTheme="minorHAnsi" w:hAnsiTheme="minorHAnsi"/>
          <w:color w:val="444746"/>
          <w:sz w:val="14"/>
          <w:szCs w:val="14"/>
          <w:vertAlign w:val="superscript"/>
        </w:rPr>
        <w:t>11</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However, the analysis of VAC must account for the high cost of supporting non-paying users. Freemium models inherently attract "freebie seekers" who consume support and computational resources without generating revenue.</w:t>
      </w:r>
      <w:r w:rsidRPr="008112B8">
        <w:rPr>
          <w:rFonts w:asciiTheme="minorHAnsi" w:hAnsiTheme="minorHAnsi"/>
          <w:color w:val="444746"/>
          <w:sz w:val="14"/>
          <w:szCs w:val="14"/>
          <w:vertAlign w:val="superscript"/>
        </w:rPr>
        <w:t>22</w:t>
      </w:r>
      <w:r w:rsidRPr="008112B8">
        <w:rPr>
          <w:rFonts w:asciiTheme="minorHAnsi" w:hAnsiTheme="minorHAnsi"/>
          <w:color w:val="1F1F1F"/>
          <w:sz w:val="22"/>
          <w:szCs w:val="22"/>
        </w:rPr>
        <w:t xml:space="preserve"> </w:t>
      </w:r>
      <w:proofErr w:type="gramStart"/>
      <w:r w:rsidRPr="008112B8">
        <w:rPr>
          <w:rFonts w:asciiTheme="minorHAnsi" w:hAnsiTheme="minorHAnsi"/>
          <w:color w:val="1F1F1F"/>
          <w:sz w:val="22"/>
          <w:szCs w:val="22"/>
        </w:rPr>
        <w:t>To</w:t>
      </w:r>
      <w:proofErr w:type="gramEnd"/>
      <w:r w:rsidRPr="008112B8">
        <w:rPr>
          <w:rFonts w:asciiTheme="minorHAnsi" w:hAnsiTheme="minorHAnsi"/>
          <w:color w:val="1F1F1F"/>
          <w:sz w:val="22"/>
          <w:szCs w:val="22"/>
        </w:rPr>
        <w:t xml:space="preserve"> maintain financial efficiency, the target conversion rate must be high (10%–12% freemium-to-paid), and the system must aggressively manage the resources allocated to R0 users.</w:t>
      </w:r>
    </w:p>
    <w:p w:rsidR="008112B8" w:rsidRPr="008112B8" w:rsidRDefault="008112B8" w:rsidP="008112B8"/>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3. Vendor Churn Rate Analysis and Mitigation</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The most significant risk to the MVP framework is the endemic high churn rate observed within the SMB sector. The target of keeping monthly churn below 5% is ambitious, particularly when considering that local advertising and media services targeting SMBs can see annual churn rates reaching </w:t>
      </w:r>
      <w:r w:rsidRPr="008112B8">
        <w:rPr>
          <w:rFonts w:asciiTheme="minorHAnsi" w:hAnsiTheme="minorHAnsi"/>
          <w:b/>
          <w:bCs/>
          <w:color w:val="1F1F1F"/>
          <w:sz w:val="22"/>
          <w:szCs w:val="22"/>
        </w:rPr>
        <w:t>43%</w:t>
      </w:r>
      <w:r w:rsidRPr="008112B8">
        <w:rPr>
          <w:rFonts w:asciiTheme="minorHAnsi" w:hAnsiTheme="minorHAnsi"/>
          <w:color w:val="1F1F1F"/>
          <w:sz w:val="22"/>
          <w:szCs w:val="22"/>
        </w:rPr>
        <w:t>.</w:t>
      </w:r>
      <w:r w:rsidRPr="008112B8">
        <w:rPr>
          <w:rFonts w:asciiTheme="minorHAnsi" w:hAnsiTheme="minorHAnsi"/>
          <w:color w:val="444746"/>
          <w:sz w:val="14"/>
          <w:szCs w:val="14"/>
          <w:vertAlign w:val="superscript"/>
        </w:rPr>
        <w:t>3</w:t>
      </w:r>
      <w:r w:rsidRPr="008112B8">
        <w:rPr>
          <w:rFonts w:asciiTheme="minorHAnsi" w:hAnsiTheme="minorHAnsi"/>
          <w:color w:val="1F1F1F"/>
          <w:sz w:val="22"/>
          <w:szCs w:val="22"/>
        </w:rPr>
        <w:t xml:space="preserve"> The primary reasons cited for this attrition are "High costs for limited results" and poor value perception.</w:t>
      </w:r>
      <w:r w:rsidRPr="008112B8">
        <w:rPr>
          <w:rFonts w:asciiTheme="minorHAnsi" w:hAnsiTheme="minorHAnsi"/>
          <w:color w:val="444746"/>
          <w:sz w:val="14"/>
          <w:szCs w:val="14"/>
          <w:vertAlign w:val="superscript"/>
        </w:rPr>
        <w:t>3</w:t>
      </w:r>
    </w:p>
    <w:p w:rsidR="008112B8" w:rsidRPr="008112B8" w:rsidRDefault="008112B8" w:rsidP="008112B8"/>
    <w:p w:rsidR="000656F0" w:rsidRDefault="000656F0" w:rsidP="008112B8">
      <w:pPr>
        <w:pStyle w:val="Heading4"/>
        <w:spacing w:before="0" w:beforeAutospacing="0" w:after="120" w:afterAutospacing="0"/>
        <w:rPr>
          <w:rFonts w:asciiTheme="minorHAnsi" w:hAnsiTheme="minorHAnsi"/>
          <w:color w:val="1F1F1F"/>
        </w:rPr>
      </w:pPr>
    </w:p>
    <w:p w:rsidR="000656F0" w:rsidRDefault="000656F0" w:rsidP="008112B8">
      <w:pPr>
        <w:pStyle w:val="Heading4"/>
        <w:spacing w:before="0" w:beforeAutospacing="0" w:after="120" w:afterAutospacing="0"/>
        <w:rPr>
          <w:rFonts w:asciiTheme="minorHAnsi" w:hAnsiTheme="minorHAnsi"/>
          <w:color w:val="1F1F1F"/>
        </w:rPr>
      </w:pPr>
    </w:p>
    <w:p w:rsidR="000656F0" w:rsidRDefault="000656F0" w:rsidP="008112B8">
      <w:pPr>
        <w:pStyle w:val="Heading4"/>
        <w:spacing w:before="0" w:beforeAutospacing="0" w:after="120" w:afterAutospacing="0"/>
        <w:rPr>
          <w:rFonts w:asciiTheme="minorHAnsi" w:hAnsiTheme="minorHAnsi"/>
          <w:color w:val="1F1F1F"/>
        </w:rPr>
      </w:pPr>
    </w:p>
    <w:p w:rsidR="000656F0" w:rsidRDefault="000656F0" w:rsidP="008112B8">
      <w:pPr>
        <w:pStyle w:val="Heading4"/>
        <w:spacing w:before="0" w:beforeAutospacing="0" w:after="120" w:afterAutospacing="0"/>
        <w:rPr>
          <w:rFonts w:asciiTheme="minorHAnsi" w:hAnsiTheme="minorHAnsi"/>
          <w:color w:val="1F1F1F"/>
        </w:rPr>
      </w:pPr>
    </w:p>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t>Retention Strategies: Proving Continuous Value</w:t>
      </w:r>
    </w:p>
    <w:p w:rsidR="008112B8" w:rsidRPr="008112B8" w:rsidRDefault="008112B8" w:rsidP="008112B8"/>
    <w:p w:rsidR="008112B8" w:rsidRPr="008112B8" w:rsidRDefault="008112B8" w:rsidP="008112B8">
      <w:pPr>
        <w:pStyle w:val="NormalWeb"/>
        <w:spacing w:before="0" w:beforeAutospacing="0" w:after="120" w:afterAutospacing="0"/>
        <w:rPr>
          <w:rFonts w:asciiTheme="minorHAnsi" w:hAnsiTheme="minorHAnsi"/>
        </w:rPr>
      </w:pPr>
      <w:r w:rsidRPr="008112B8">
        <w:rPr>
          <w:rFonts w:asciiTheme="minorHAnsi" w:hAnsiTheme="minorHAnsi"/>
          <w:color w:val="1F1F1F"/>
          <w:sz w:val="22"/>
          <w:szCs w:val="22"/>
        </w:rPr>
        <w:t xml:space="preserve">To overcome the inherent volatility of the SMB market, retention strategies must focus on quantifiable value delivery, leading to </w:t>
      </w:r>
      <w:r w:rsidRPr="008112B8">
        <w:rPr>
          <w:rFonts w:asciiTheme="minorHAnsi" w:hAnsiTheme="minorHAnsi"/>
          <w:b/>
          <w:bCs/>
          <w:color w:val="1F1F1F"/>
          <w:sz w:val="22"/>
          <w:szCs w:val="22"/>
        </w:rPr>
        <w:t>Net Negative Churn</w:t>
      </w:r>
      <w:r w:rsidRPr="008112B8">
        <w:rPr>
          <w:rFonts w:asciiTheme="minorHAnsi" w:hAnsiTheme="minorHAnsi"/>
          <w:color w:val="1F1F1F"/>
          <w:sz w:val="22"/>
          <w:szCs w:val="22"/>
        </w:rPr>
        <w:t>—where revenue expansion from upgrades offsets the revenue lost from cancellations.</w:t>
      </w:r>
      <w:r w:rsidRPr="008112B8">
        <w:rPr>
          <w:rFonts w:asciiTheme="minorHAnsi" w:hAnsiTheme="minorHAnsi"/>
          <w:color w:val="444746"/>
          <w:sz w:val="14"/>
          <w:szCs w:val="14"/>
          <w:vertAlign w:val="superscript"/>
        </w:rPr>
        <w:t>18</w:t>
      </w:r>
    </w:p>
    <w:p w:rsidR="008112B8" w:rsidRPr="008112B8" w:rsidRDefault="008112B8" w:rsidP="008112B8">
      <w:pPr>
        <w:pStyle w:val="NormalWeb"/>
        <w:numPr>
          <w:ilvl w:val="0"/>
          <w:numId w:val="43"/>
        </w:numPr>
        <w:spacing w:before="0" w:beforeAutospacing="0" w:after="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Mandatory ROI Reporting:</w:t>
      </w:r>
      <w:r w:rsidRPr="008112B8">
        <w:rPr>
          <w:rFonts w:asciiTheme="minorHAnsi" w:hAnsiTheme="minorHAnsi" w:cs="Arial"/>
          <w:color w:val="1F1F1F"/>
          <w:sz w:val="22"/>
          <w:szCs w:val="22"/>
        </w:rPr>
        <w:t xml:space="preserve"> The platform cannot assume vendors understand the value they receive. Automated, monthly reports must be generated for all paying tiers, explicitly translating the subscription fee into sales performance. For a R199 Standard user, this report should state: "This month, your R199 subscription enabled R3</w:t>
      </w:r>
      <w:proofErr w:type="gramStart"/>
      <w:r w:rsidRPr="008112B8">
        <w:rPr>
          <w:rFonts w:asciiTheme="minorHAnsi" w:hAnsiTheme="minorHAnsi" w:cs="Arial"/>
          <w:color w:val="1F1F1F"/>
          <w:sz w:val="22"/>
          <w:szCs w:val="22"/>
        </w:rPr>
        <w:t>,000</w:t>
      </w:r>
      <w:proofErr w:type="gramEnd"/>
      <w:r w:rsidRPr="008112B8">
        <w:rPr>
          <w:rFonts w:asciiTheme="minorHAnsi" w:hAnsiTheme="minorHAnsi" w:cs="Arial"/>
          <w:color w:val="1F1F1F"/>
          <w:sz w:val="22"/>
          <w:szCs w:val="22"/>
        </w:rPr>
        <w:t xml:space="preserve"> in local sales, representing a 15x return on your investment." This continuously reinforces the value proposition, directly addressing the "poor results" cited for churn.</w:t>
      </w:r>
      <w:r w:rsidRPr="008112B8">
        <w:rPr>
          <w:rFonts w:asciiTheme="minorHAnsi" w:hAnsiTheme="minorHAnsi" w:cs="Arial"/>
          <w:color w:val="444746"/>
          <w:sz w:val="14"/>
          <w:szCs w:val="14"/>
          <w:vertAlign w:val="superscript"/>
        </w:rPr>
        <w:t>3</w:t>
      </w:r>
    </w:p>
    <w:p w:rsidR="008112B8" w:rsidRPr="008112B8" w:rsidRDefault="008112B8" w:rsidP="008112B8">
      <w:pPr>
        <w:pStyle w:val="NormalWeb"/>
        <w:numPr>
          <w:ilvl w:val="0"/>
          <w:numId w:val="43"/>
        </w:numPr>
        <w:spacing w:before="0" w:beforeAutospacing="0" w:after="0" w:afterAutospacing="0"/>
        <w:ind w:left="480"/>
        <w:textAlignment w:val="baseline"/>
        <w:rPr>
          <w:rFonts w:asciiTheme="minorHAnsi" w:hAnsiTheme="minorHAnsi" w:cs="Arial"/>
          <w:color w:val="000000"/>
          <w:sz w:val="22"/>
          <w:szCs w:val="22"/>
        </w:rPr>
      </w:pPr>
      <w:proofErr w:type="spellStart"/>
      <w:r w:rsidRPr="008112B8">
        <w:rPr>
          <w:rFonts w:asciiTheme="minorHAnsi" w:hAnsiTheme="minorHAnsi" w:cs="Arial"/>
          <w:b/>
          <w:bCs/>
          <w:color w:val="1F1F1F"/>
          <w:sz w:val="22"/>
          <w:szCs w:val="22"/>
        </w:rPr>
        <w:t>Onboarding</w:t>
      </w:r>
      <w:proofErr w:type="spellEnd"/>
      <w:r w:rsidRPr="008112B8">
        <w:rPr>
          <w:rFonts w:asciiTheme="minorHAnsi" w:hAnsiTheme="minorHAnsi" w:cs="Arial"/>
          <w:b/>
          <w:bCs/>
          <w:color w:val="1F1F1F"/>
          <w:sz w:val="22"/>
          <w:szCs w:val="22"/>
        </w:rPr>
        <w:t xml:space="preserve"> Stickiness:</w:t>
      </w:r>
      <w:r w:rsidRPr="008112B8">
        <w:rPr>
          <w:rFonts w:asciiTheme="minorHAnsi" w:hAnsiTheme="minorHAnsi" w:cs="Arial"/>
          <w:color w:val="1F1F1F"/>
          <w:sz w:val="22"/>
          <w:szCs w:val="22"/>
        </w:rPr>
        <w:t xml:space="preserve"> The </w:t>
      </w:r>
      <w:proofErr w:type="spellStart"/>
      <w:r w:rsidRPr="008112B8">
        <w:rPr>
          <w:rFonts w:asciiTheme="minorHAnsi" w:hAnsiTheme="minorHAnsi" w:cs="Arial"/>
          <w:color w:val="1F1F1F"/>
          <w:sz w:val="22"/>
          <w:szCs w:val="22"/>
        </w:rPr>
        <w:t>onboarding</w:t>
      </w:r>
      <w:proofErr w:type="spellEnd"/>
      <w:r w:rsidRPr="008112B8">
        <w:rPr>
          <w:rFonts w:asciiTheme="minorHAnsi" w:hAnsiTheme="minorHAnsi" w:cs="Arial"/>
          <w:color w:val="1F1F1F"/>
          <w:sz w:val="22"/>
          <w:szCs w:val="22"/>
        </w:rPr>
        <w:t xml:space="preserve"> experience is the foundation of retention. Use guided tours and checklists to ensure new vendors complete key "sticky" actions, such as adding a full </w:t>
      </w:r>
      <w:proofErr w:type="spellStart"/>
      <w:r w:rsidRPr="008112B8">
        <w:rPr>
          <w:rFonts w:asciiTheme="minorHAnsi" w:hAnsiTheme="minorHAnsi" w:cs="Arial"/>
          <w:color w:val="1F1F1F"/>
          <w:sz w:val="22"/>
          <w:szCs w:val="22"/>
        </w:rPr>
        <w:t>catalog</w:t>
      </w:r>
      <w:proofErr w:type="spellEnd"/>
      <w:r w:rsidRPr="008112B8">
        <w:rPr>
          <w:rFonts w:asciiTheme="minorHAnsi" w:hAnsiTheme="minorHAnsi" w:cs="Arial"/>
          <w:color w:val="1F1F1F"/>
          <w:sz w:val="22"/>
          <w:szCs w:val="22"/>
        </w:rPr>
        <w:t>, setting up payment details, and processing their first handful of orders.</w:t>
      </w:r>
      <w:r w:rsidRPr="008112B8">
        <w:rPr>
          <w:rFonts w:asciiTheme="minorHAnsi" w:hAnsiTheme="minorHAnsi" w:cs="Arial"/>
          <w:color w:val="444746"/>
          <w:sz w:val="14"/>
          <w:szCs w:val="14"/>
          <w:vertAlign w:val="superscript"/>
        </w:rPr>
        <w:t>11</w:t>
      </w:r>
    </w:p>
    <w:p w:rsidR="008112B8" w:rsidRPr="008112B8" w:rsidRDefault="008112B8" w:rsidP="008112B8">
      <w:pPr>
        <w:pStyle w:val="NormalWeb"/>
        <w:numPr>
          <w:ilvl w:val="0"/>
          <w:numId w:val="43"/>
        </w:numPr>
        <w:spacing w:before="0" w:beforeAutospacing="0" w:after="12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Proactive Customer Success:</w:t>
      </w:r>
      <w:r w:rsidRPr="008112B8">
        <w:rPr>
          <w:rFonts w:asciiTheme="minorHAnsi" w:hAnsiTheme="minorHAnsi" w:cs="Arial"/>
          <w:color w:val="1F1F1F"/>
          <w:sz w:val="22"/>
          <w:szCs w:val="22"/>
        </w:rPr>
        <w:t xml:space="preserve"> Instead of waiting for cancellations, the system must use engagement metrics to identify vendors at high risk of passive churn (e.g., a paying vendor who has not updated their </w:t>
      </w:r>
      <w:proofErr w:type="spellStart"/>
      <w:r w:rsidRPr="008112B8">
        <w:rPr>
          <w:rFonts w:asciiTheme="minorHAnsi" w:hAnsiTheme="minorHAnsi" w:cs="Arial"/>
          <w:color w:val="1F1F1F"/>
          <w:sz w:val="22"/>
          <w:szCs w:val="22"/>
        </w:rPr>
        <w:t>catalog</w:t>
      </w:r>
      <w:proofErr w:type="spellEnd"/>
      <w:r w:rsidRPr="008112B8">
        <w:rPr>
          <w:rFonts w:asciiTheme="minorHAnsi" w:hAnsiTheme="minorHAnsi" w:cs="Arial"/>
          <w:color w:val="1F1F1F"/>
          <w:sz w:val="22"/>
          <w:szCs w:val="22"/>
        </w:rPr>
        <w:t xml:space="preserve"> or logged in for two weeks). Proactive outreach or targeted in-app guidance can re-engage these users before they decide to cancel.</w:t>
      </w:r>
      <w:r w:rsidRPr="008112B8">
        <w:rPr>
          <w:rFonts w:asciiTheme="minorHAnsi" w:hAnsiTheme="minorHAnsi" w:cs="Arial"/>
          <w:color w:val="444746"/>
          <w:sz w:val="14"/>
          <w:szCs w:val="14"/>
          <w:vertAlign w:val="superscript"/>
        </w:rPr>
        <w:t>18</w:t>
      </w:r>
    </w:p>
    <w:p w:rsidR="008112B8" w:rsidRPr="008112B8" w:rsidRDefault="008112B8" w:rsidP="008112B8">
      <w:pPr>
        <w:rPr>
          <w:rFonts w:cs="Times New Roman"/>
          <w:sz w:val="24"/>
          <w:szCs w:val="24"/>
        </w:rPr>
      </w:pPr>
    </w:p>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4. Vendor Lifetime Value (VLV) Maximization</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Customer Lifetime Value (CLTV or VLV) is maximized through two primary vectors: increased retention (reduced churn) and increased ARPU (tier upgrades).</w:t>
      </w:r>
      <w:r w:rsidRPr="008112B8">
        <w:rPr>
          <w:rFonts w:asciiTheme="minorHAnsi" w:hAnsiTheme="minorHAnsi"/>
          <w:color w:val="444746"/>
          <w:sz w:val="14"/>
          <w:szCs w:val="14"/>
          <w:vertAlign w:val="superscript"/>
        </w:rPr>
        <w:t>23</w:t>
      </w:r>
      <w:r w:rsidRPr="008112B8">
        <w:rPr>
          <w:rFonts w:asciiTheme="minorHAnsi" w:hAnsiTheme="minorHAnsi"/>
          <w:color w:val="1F1F1F"/>
          <w:sz w:val="22"/>
          <w:szCs w:val="22"/>
        </w:rPr>
        <w:t xml:space="preserve"> Since a R499 Pro Merchant generates 2.5 times the revenue of a R199 Standard Store, VLV is maximized by focusing retention efforts and dedicated support resources on the higher-tier cohort. The quality of the Advanced Analytics must be continuously iterated upon to ensure the Pro Tier remains sticky and indispensable.</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Table 3 summarizes the critical KPIs and targets for the MVP phase, highlighting the challenging nature of the SMB churn target.</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Table 3: Key Financial Metrics (KPI) Benchmarks and </w:t>
      </w:r>
      <w:proofErr w:type="spellStart"/>
      <w:r w:rsidRPr="008112B8">
        <w:rPr>
          <w:rFonts w:asciiTheme="minorHAnsi" w:hAnsiTheme="minorHAnsi"/>
          <w:color w:val="1F1F1F"/>
          <w:sz w:val="22"/>
          <w:szCs w:val="22"/>
        </w:rPr>
        <w:t>ReachHub</w:t>
      </w:r>
      <w:proofErr w:type="spellEnd"/>
      <w:r w:rsidRPr="008112B8">
        <w:rPr>
          <w:rFonts w:asciiTheme="minorHAnsi" w:hAnsiTheme="minorHAnsi"/>
          <w:color w:val="1F1F1F"/>
          <w:sz w:val="22"/>
          <w:szCs w:val="22"/>
        </w:rPr>
        <w:t xml:space="preserve"> Pilot Targets</w:t>
      </w:r>
    </w:p>
    <w:p w:rsidR="008112B8" w:rsidRPr="008112B8" w:rsidRDefault="008112B8" w:rsidP="008112B8"/>
    <w:tbl>
      <w:tblPr>
        <w:tblW w:w="0" w:type="auto"/>
        <w:tblCellMar>
          <w:top w:w="15" w:type="dxa"/>
          <w:left w:w="15" w:type="dxa"/>
          <w:bottom w:w="15" w:type="dxa"/>
          <w:right w:w="15" w:type="dxa"/>
        </w:tblCellMar>
        <w:tblLook w:val="04A0" w:firstRow="1" w:lastRow="0" w:firstColumn="1" w:lastColumn="0" w:noHBand="0" w:noVBand="1"/>
      </w:tblPr>
      <w:tblGrid>
        <w:gridCol w:w="1955"/>
        <w:gridCol w:w="2447"/>
        <w:gridCol w:w="1671"/>
        <w:gridCol w:w="3313"/>
      </w:tblGrid>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Metric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Industry Benchmark (B2B SaaS/Freemium)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proofErr w:type="spellStart"/>
            <w:r w:rsidRPr="008112B8">
              <w:rPr>
                <w:rFonts w:asciiTheme="minorHAnsi" w:hAnsiTheme="minorHAnsi"/>
                <w:b/>
                <w:bCs/>
                <w:color w:val="1F1F1F"/>
                <w:sz w:val="22"/>
                <w:szCs w:val="22"/>
              </w:rPr>
              <w:t>ReachHub</w:t>
            </w:r>
            <w:proofErr w:type="spellEnd"/>
            <w:r w:rsidRPr="008112B8">
              <w:rPr>
                <w:rFonts w:asciiTheme="minorHAnsi" w:hAnsiTheme="minorHAnsi"/>
                <w:b/>
                <w:bCs/>
                <w:color w:val="1F1F1F"/>
                <w:sz w:val="22"/>
                <w:szCs w:val="22"/>
              </w:rPr>
              <w:t xml:space="preserve"> MVP Pilot Target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Strategic Mitigation/Focus</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 xml:space="preserve">Freemium-to-Paid Conversion </w:t>
            </w:r>
            <w:r w:rsidRPr="008112B8">
              <w:rPr>
                <w:rFonts w:asciiTheme="minorHAnsi" w:hAnsiTheme="minorHAnsi"/>
                <w:color w:val="1F1F1F"/>
                <w:sz w:val="22"/>
                <w:szCs w:val="22"/>
              </w:rPr>
              <w:lastRenderedPageBreak/>
              <w:t>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0" w:beforeAutospacing="0" w:after="0" w:afterAutospacing="0" w:line="0" w:lineRule="atLeast"/>
              <w:rPr>
                <w:rFonts w:asciiTheme="minorHAnsi" w:hAnsiTheme="minorHAnsi"/>
              </w:rPr>
            </w:pPr>
            <w:r w:rsidRPr="008112B8">
              <w:rPr>
                <w:rFonts w:asciiTheme="minorHAnsi" w:hAnsiTheme="minorHAnsi"/>
                <w:color w:val="1F1F1F"/>
                <w:sz w:val="22"/>
                <w:szCs w:val="22"/>
              </w:rPr>
              <w:lastRenderedPageBreak/>
              <w:t xml:space="preserve">2.6% – 15% </w:t>
            </w:r>
            <w:r w:rsidRPr="008112B8">
              <w:rPr>
                <w:rFonts w:asciiTheme="minorHAnsi" w:hAnsiTheme="minorHAnsi"/>
                <w:color w:val="444746"/>
                <w:sz w:val="14"/>
                <w:szCs w:val="14"/>
                <w:vertAlign w:val="superscript"/>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10% – 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 xml:space="preserve">Focused, guided </w:t>
            </w:r>
            <w:proofErr w:type="spellStart"/>
            <w:r w:rsidRPr="008112B8">
              <w:rPr>
                <w:rFonts w:asciiTheme="minorHAnsi" w:hAnsiTheme="minorHAnsi"/>
                <w:color w:val="1F1F1F"/>
                <w:sz w:val="22"/>
                <w:szCs w:val="22"/>
              </w:rPr>
              <w:t>onboarding</w:t>
            </w:r>
            <w:proofErr w:type="spellEnd"/>
            <w:r w:rsidRPr="008112B8">
              <w:rPr>
                <w:rFonts w:asciiTheme="minorHAnsi" w:hAnsiTheme="minorHAnsi"/>
                <w:color w:val="1F1F1F"/>
                <w:sz w:val="22"/>
                <w:szCs w:val="22"/>
              </w:rPr>
              <w:t xml:space="preserve">; aggressive feature gating at 10 </w:t>
            </w:r>
            <w:r w:rsidRPr="008112B8">
              <w:rPr>
                <w:rFonts w:asciiTheme="minorHAnsi" w:hAnsiTheme="minorHAnsi"/>
                <w:color w:val="1F1F1F"/>
                <w:sz w:val="22"/>
                <w:szCs w:val="22"/>
              </w:rPr>
              <w:lastRenderedPageBreak/>
              <w:t>items.</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lastRenderedPageBreak/>
              <w:t>Vendor Churn Rate (Monthly)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3.5% – 7% (B2B Average)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&lt;5% (Goal)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0" w:beforeAutospacing="0" w:after="0" w:afterAutospacing="0" w:line="0" w:lineRule="atLeast"/>
              <w:rPr>
                <w:rFonts w:asciiTheme="minorHAnsi" w:hAnsiTheme="minorHAnsi"/>
              </w:rPr>
            </w:pPr>
            <w:r w:rsidRPr="008112B8">
              <w:rPr>
                <w:rFonts w:asciiTheme="minorHAnsi" w:hAnsiTheme="minorHAnsi"/>
                <w:color w:val="1F1F1F"/>
                <w:sz w:val="22"/>
                <w:szCs w:val="22"/>
              </w:rPr>
              <w:t xml:space="preserve">Must overcome 43% annual SMB churn </w:t>
            </w:r>
            <w:r w:rsidRPr="008112B8">
              <w:rPr>
                <w:rFonts w:asciiTheme="minorHAnsi" w:hAnsiTheme="minorHAnsi"/>
                <w:color w:val="444746"/>
                <w:sz w:val="14"/>
                <w:szCs w:val="14"/>
                <w:vertAlign w:val="superscript"/>
              </w:rPr>
              <w:t>3</w:t>
            </w:r>
            <w:r w:rsidRPr="008112B8">
              <w:rPr>
                <w:rFonts w:asciiTheme="minorHAnsi" w:hAnsiTheme="minorHAnsi"/>
                <w:color w:val="1F1F1F"/>
                <w:sz w:val="22"/>
                <w:szCs w:val="22"/>
              </w:rPr>
              <w:t xml:space="preserve"> via continuous ROI demonstration.</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Gross Margin on Subscription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85% – 95%+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90%+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Maintain this margin by strict exclusion of complex variable costs (delivery/COGS).</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ARPU (Target by end of Pilot)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Variable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R300+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Driven by Pro Tier adoption, requiring early demonstration of analytics ROI.</w:t>
            </w:r>
          </w:p>
        </w:tc>
      </w:tr>
    </w:tbl>
    <w:p w:rsidR="008112B8" w:rsidRPr="008112B8" w:rsidRDefault="008112B8" w:rsidP="008112B8"/>
    <w:p w:rsidR="008112B8" w:rsidRPr="008112B8" w:rsidRDefault="008112B8" w:rsidP="008112B8">
      <w:pPr>
        <w:pStyle w:val="Heading2"/>
        <w:spacing w:before="0" w:beforeAutospacing="0" w:after="120" w:afterAutospacing="0"/>
        <w:rPr>
          <w:rFonts w:asciiTheme="minorHAnsi" w:hAnsiTheme="minorHAnsi"/>
        </w:rPr>
      </w:pPr>
      <w:r w:rsidRPr="008112B8">
        <w:rPr>
          <w:rFonts w:asciiTheme="minorHAnsi" w:hAnsiTheme="minorHAnsi"/>
          <w:color w:val="1F1F1F"/>
        </w:rPr>
        <w:t>IV. The Strategic Roadmap for Scaling and Diversification</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The success of the MVP will create opportunities to diversify revenue streams in subsequent phases. This roadmap defines clear, data-driven triggers to ensure the transition to a hybrid model is seamless and value-additive, rather than punitive.</w:t>
      </w:r>
    </w:p>
    <w:p w:rsidR="008112B8" w:rsidRPr="008112B8" w:rsidRDefault="008112B8" w:rsidP="008112B8"/>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1. Transition to Hybrid Monetization (Transaction Commission/Take Rate)</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While the MVP prohibits transactional fees to simplify early economics, the long-term sustainable model for a marketplace involves a hybrid structure combining subscription predictability with performance-based commissions.</w:t>
      </w:r>
      <w:r w:rsidRPr="008112B8">
        <w:rPr>
          <w:rFonts w:asciiTheme="minorHAnsi" w:hAnsiTheme="minorHAnsi"/>
          <w:color w:val="444746"/>
          <w:sz w:val="14"/>
          <w:szCs w:val="14"/>
          <w:vertAlign w:val="superscript"/>
        </w:rPr>
        <w:t>25</w:t>
      </w:r>
    </w:p>
    <w:p w:rsidR="008112B8" w:rsidRPr="008112B8" w:rsidRDefault="008112B8" w:rsidP="008112B8"/>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t>Recommended Take Rate Structure and Value Justification</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The average take rate for marketplaces ranges widely, often falling between 10% and 30%.</w:t>
      </w:r>
      <w:r w:rsidRPr="008112B8">
        <w:rPr>
          <w:rFonts w:asciiTheme="minorHAnsi" w:hAnsiTheme="minorHAnsi"/>
          <w:color w:val="444746"/>
          <w:sz w:val="14"/>
          <w:szCs w:val="14"/>
          <w:vertAlign w:val="superscript"/>
        </w:rPr>
        <w:t>26</w:t>
      </w:r>
      <w:r w:rsidRPr="008112B8">
        <w:rPr>
          <w:rFonts w:asciiTheme="minorHAnsi" w:hAnsiTheme="minorHAnsi"/>
          <w:color w:val="1F1F1F"/>
          <w:sz w:val="22"/>
          <w:szCs w:val="22"/>
        </w:rPr>
        <w:t xml:space="preserve"> </w:t>
      </w:r>
      <w:proofErr w:type="gramStart"/>
      <w:r w:rsidRPr="008112B8">
        <w:rPr>
          <w:rFonts w:asciiTheme="minorHAnsi" w:hAnsiTheme="minorHAnsi"/>
          <w:color w:val="1F1F1F"/>
          <w:sz w:val="22"/>
          <w:szCs w:val="22"/>
        </w:rPr>
        <w:t>To</w:t>
      </w:r>
      <w:proofErr w:type="gramEnd"/>
      <w:r w:rsidRPr="008112B8">
        <w:rPr>
          <w:rFonts w:asciiTheme="minorHAnsi" w:hAnsiTheme="minorHAnsi"/>
          <w:color w:val="1F1F1F"/>
          <w:sz w:val="22"/>
          <w:szCs w:val="22"/>
        </w:rPr>
        <w:t xml:space="preserve"> remain highly competitive and encourage adoption during the initial transition, an </w:t>
      </w:r>
      <w:r w:rsidRPr="008112B8">
        <w:rPr>
          <w:rFonts w:asciiTheme="minorHAnsi" w:hAnsiTheme="minorHAnsi"/>
          <w:b/>
          <w:bCs/>
          <w:color w:val="1F1F1F"/>
          <w:sz w:val="22"/>
          <w:szCs w:val="22"/>
        </w:rPr>
        <w:t>8% flat commission</w:t>
      </w:r>
      <w:r w:rsidRPr="008112B8">
        <w:rPr>
          <w:rFonts w:asciiTheme="minorHAnsi" w:hAnsiTheme="minorHAnsi"/>
          <w:color w:val="1F1F1F"/>
          <w:sz w:val="22"/>
          <w:szCs w:val="22"/>
        </w:rPr>
        <w:t xml:space="preserve"> is recommended. This rate is intentionally on the lower end, </w:t>
      </w:r>
      <w:proofErr w:type="spellStart"/>
      <w:r w:rsidRPr="008112B8">
        <w:rPr>
          <w:rFonts w:asciiTheme="minorHAnsi" w:hAnsiTheme="minorHAnsi"/>
          <w:color w:val="1F1F1F"/>
          <w:sz w:val="22"/>
          <w:szCs w:val="22"/>
        </w:rPr>
        <w:t>signaling</w:t>
      </w:r>
      <w:proofErr w:type="spellEnd"/>
      <w:r w:rsidRPr="008112B8">
        <w:rPr>
          <w:rFonts w:asciiTheme="minorHAnsi" w:hAnsiTheme="minorHAnsi"/>
          <w:color w:val="1F1F1F"/>
          <w:sz w:val="22"/>
          <w:szCs w:val="22"/>
        </w:rPr>
        <w:t xml:space="preserve"> a commitment to partner success while establishing a clear performance incentive.</w:t>
      </w:r>
      <w:r w:rsidRPr="008112B8">
        <w:rPr>
          <w:rFonts w:asciiTheme="minorHAnsi" w:hAnsiTheme="minorHAnsi"/>
          <w:color w:val="444746"/>
          <w:sz w:val="14"/>
          <w:szCs w:val="14"/>
          <w:vertAlign w:val="superscript"/>
        </w:rPr>
        <w:t>28</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The key challenge is sequencing this transition. Introducing a commission fee without a commensurate increase in platform value is often perceived as a "tax on success," risking immediate vendor alienation.</w:t>
      </w:r>
      <w:r w:rsidRPr="008112B8">
        <w:rPr>
          <w:rFonts w:asciiTheme="minorHAnsi" w:hAnsiTheme="minorHAnsi"/>
          <w:color w:val="444746"/>
          <w:sz w:val="14"/>
          <w:szCs w:val="14"/>
          <w:vertAlign w:val="superscript"/>
        </w:rPr>
        <w:t>29</w:t>
      </w:r>
      <w:r w:rsidRPr="008112B8">
        <w:rPr>
          <w:rFonts w:asciiTheme="minorHAnsi" w:hAnsiTheme="minorHAnsi"/>
          <w:color w:val="1F1F1F"/>
          <w:sz w:val="22"/>
          <w:szCs w:val="22"/>
        </w:rPr>
        <w:t xml:space="preserve"> Therefore, the implementation of the Take Rate must be synchronized with a major value-add service or applied only to the most successful vendors.</w:t>
      </w:r>
    </w:p>
    <w:p w:rsidR="008112B8" w:rsidRPr="008112B8" w:rsidRDefault="008112B8" w:rsidP="008112B8"/>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lastRenderedPageBreak/>
        <w:t>The Optimal Trigger for Commission Introduction</w:t>
      </w:r>
    </w:p>
    <w:p w:rsidR="008112B8" w:rsidRPr="008112B8" w:rsidRDefault="008112B8" w:rsidP="008112B8"/>
    <w:p w:rsidR="008112B8" w:rsidRPr="008112B8" w:rsidRDefault="008112B8" w:rsidP="008112B8">
      <w:pPr>
        <w:pStyle w:val="NormalWeb"/>
        <w:spacing w:before="0" w:beforeAutospacing="0" w:after="120" w:afterAutospacing="0"/>
        <w:rPr>
          <w:rFonts w:asciiTheme="minorHAnsi" w:hAnsiTheme="minorHAnsi"/>
        </w:rPr>
      </w:pPr>
      <w:r w:rsidRPr="008112B8">
        <w:rPr>
          <w:rFonts w:asciiTheme="minorHAnsi" w:hAnsiTheme="minorHAnsi"/>
          <w:color w:val="1F1F1F"/>
          <w:sz w:val="22"/>
          <w:szCs w:val="22"/>
        </w:rPr>
        <w:t>The trigger for implementing the Take Rate must be dual:</w:t>
      </w:r>
    </w:p>
    <w:p w:rsidR="008112B8" w:rsidRPr="008112B8" w:rsidRDefault="008112B8" w:rsidP="008112B8">
      <w:pPr>
        <w:pStyle w:val="NormalWeb"/>
        <w:numPr>
          <w:ilvl w:val="0"/>
          <w:numId w:val="44"/>
        </w:numPr>
        <w:spacing w:before="0" w:beforeAutospacing="0" w:after="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Trigger A: Integrated Logistics Maturity (Core Trigger):</w:t>
      </w:r>
      <w:r w:rsidRPr="008112B8">
        <w:rPr>
          <w:rFonts w:asciiTheme="minorHAnsi" w:hAnsiTheme="minorHAnsi" w:cs="Arial"/>
          <w:color w:val="1F1F1F"/>
          <w:sz w:val="22"/>
          <w:szCs w:val="22"/>
        </w:rPr>
        <w:t xml:space="preserve"> The commission should be universally introduced only when </w:t>
      </w:r>
      <w:proofErr w:type="spellStart"/>
      <w:r w:rsidRPr="008112B8">
        <w:rPr>
          <w:rFonts w:asciiTheme="minorHAnsi" w:hAnsiTheme="minorHAnsi" w:cs="Arial"/>
          <w:color w:val="1F1F1F"/>
          <w:sz w:val="22"/>
          <w:szCs w:val="22"/>
        </w:rPr>
        <w:t>ReachHub</w:t>
      </w:r>
      <w:proofErr w:type="spellEnd"/>
      <w:r w:rsidRPr="008112B8">
        <w:rPr>
          <w:rFonts w:asciiTheme="minorHAnsi" w:hAnsiTheme="minorHAnsi" w:cs="Arial"/>
          <w:color w:val="1F1F1F"/>
          <w:sz w:val="22"/>
          <w:szCs w:val="22"/>
        </w:rPr>
        <w:t xml:space="preserve"> launches its own integrated Delivery/Logistics feature. Handling </w:t>
      </w:r>
      <w:proofErr w:type="spellStart"/>
      <w:r w:rsidRPr="008112B8">
        <w:rPr>
          <w:rFonts w:asciiTheme="minorHAnsi" w:hAnsiTheme="minorHAnsi" w:cs="Arial"/>
          <w:color w:val="1F1F1F"/>
          <w:sz w:val="22"/>
          <w:szCs w:val="22"/>
        </w:rPr>
        <w:t>fulfillment</w:t>
      </w:r>
      <w:proofErr w:type="spellEnd"/>
      <w:r w:rsidRPr="008112B8">
        <w:rPr>
          <w:rFonts w:asciiTheme="minorHAnsi" w:hAnsiTheme="minorHAnsi" w:cs="Arial"/>
          <w:color w:val="1F1F1F"/>
          <w:sz w:val="22"/>
          <w:szCs w:val="22"/>
        </w:rPr>
        <w:t>, customer service, and payment processing adds substantial operational value, directly justifying the performance-based fee.</w:t>
      </w:r>
      <w:r w:rsidRPr="008112B8">
        <w:rPr>
          <w:rFonts w:asciiTheme="minorHAnsi" w:hAnsiTheme="minorHAnsi" w:cs="Arial"/>
          <w:color w:val="444746"/>
          <w:sz w:val="14"/>
          <w:szCs w:val="14"/>
          <w:vertAlign w:val="superscript"/>
        </w:rPr>
        <w:t>25</w:t>
      </w:r>
    </w:p>
    <w:p w:rsidR="008112B8" w:rsidRPr="008112B8" w:rsidRDefault="008112B8" w:rsidP="008112B8">
      <w:pPr>
        <w:pStyle w:val="NormalWeb"/>
        <w:numPr>
          <w:ilvl w:val="0"/>
          <w:numId w:val="44"/>
        </w:numPr>
        <w:spacing w:before="0" w:beforeAutospacing="0" w:after="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Trigger B: Performance-Based Threshold (Volume-Based Trigger):</w:t>
      </w:r>
      <w:r w:rsidRPr="008112B8">
        <w:rPr>
          <w:rFonts w:asciiTheme="minorHAnsi" w:hAnsiTheme="minorHAnsi" w:cs="Arial"/>
          <w:color w:val="1F1F1F"/>
          <w:sz w:val="22"/>
          <w:szCs w:val="22"/>
        </w:rPr>
        <w:t xml:space="preserve"> To avoid penalizing lower-volume merchants and to reward success, a volume-based threshold should be introduced earlier for high-performing vendors. This transition occurs when a vendor’s projected monthly commission liability (at 8% of Gross Merchandise Volume, or GMV) sustainably exceeds their current R499 Pro Merchant subscription fee.</w:t>
      </w:r>
    </w:p>
    <w:p w:rsidR="008112B8" w:rsidRPr="008112B8" w:rsidRDefault="008112B8" w:rsidP="008112B8">
      <w:pPr>
        <w:pStyle w:val="NormalWeb"/>
        <w:numPr>
          <w:ilvl w:val="0"/>
          <w:numId w:val="45"/>
        </w:numPr>
        <w:spacing w:before="0" w:beforeAutospacing="0" w:after="0" w:afterAutospacing="0"/>
        <w:ind w:left="885"/>
        <w:textAlignment w:val="baseline"/>
        <w:rPr>
          <w:rFonts w:asciiTheme="minorHAnsi" w:hAnsiTheme="minorHAnsi" w:cs="Arial"/>
          <w:color w:val="000000"/>
          <w:sz w:val="22"/>
          <w:szCs w:val="22"/>
        </w:rPr>
      </w:pPr>
      <w:r w:rsidRPr="008112B8">
        <w:rPr>
          <w:rFonts w:asciiTheme="minorHAnsi" w:hAnsiTheme="minorHAnsi" w:cs="Arial"/>
          <w:color w:val="1F1F1F"/>
          <w:sz w:val="22"/>
          <w:szCs w:val="22"/>
        </w:rPr>
        <w:t xml:space="preserve">The threshold calculation is: R499 / 0.08 = </w:t>
      </w:r>
      <w:r w:rsidRPr="008112B8">
        <w:rPr>
          <w:rFonts w:asciiTheme="minorHAnsi" w:hAnsiTheme="minorHAnsi" w:cs="Arial"/>
          <w:b/>
          <w:bCs/>
          <w:color w:val="1F1F1F"/>
          <w:sz w:val="22"/>
          <w:szCs w:val="22"/>
        </w:rPr>
        <w:t>R6</w:t>
      </w:r>
      <w:proofErr w:type="gramStart"/>
      <w:r w:rsidRPr="008112B8">
        <w:rPr>
          <w:rFonts w:asciiTheme="minorHAnsi" w:hAnsiTheme="minorHAnsi" w:cs="Arial"/>
          <w:b/>
          <w:bCs/>
          <w:color w:val="1F1F1F"/>
          <w:sz w:val="22"/>
          <w:szCs w:val="22"/>
        </w:rPr>
        <w:t>,237.50</w:t>
      </w:r>
      <w:proofErr w:type="gramEnd"/>
      <w:r w:rsidRPr="008112B8">
        <w:rPr>
          <w:rFonts w:asciiTheme="minorHAnsi" w:hAnsiTheme="minorHAnsi" w:cs="Arial"/>
          <w:b/>
          <w:bCs/>
          <w:color w:val="1F1F1F"/>
          <w:sz w:val="22"/>
          <w:szCs w:val="22"/>
        </w:rPr>
        <w:t xml:space="preserve"> GMV per month.</w:t>
      </w:r>
    </w:p>
    <w:p w:rsidR="008112B8" w:rsidRPr="008112B8" w:rsidRDefault="008112B8" w:rsidP="008112B8">
      <w:pPr>
        <w:pStyle w:val="NormalWeb"/>
        <w:numPr>
          <w:ilvl w:val="0"/>
          <w:numId w:val="45"/>
        </w:numPr>
        <w:spacing w:before="0" w:beforeAutospacing="0" w:after="120" w:afterAutospacing="0"/>
        <w:ind w:left="885"/>
        <w:textAlignment w:val="baseline"/>
        <w:rPr>
          <w:rFonts w:asciiTheme="minorHAnsi" w:hAnsiTheme="minorHAnsi" w:cs="Arial"/>
          <w:color w:val="000000"/>
          <w:sz w:val="22"/>
          <w:szCs w:val="22"/>
        </w:rPr>
      </w:pPr>
      <w:r w:rsidRPr="008112B8">
        <w:rPr>
          <w:rFonts w:asciiTheme="minorHAnsi" w:hAnsiTheme="minorHAnsi" w:cs="Arial"/>
          <w:color w:val="1F1F1F"/>
          <w:sz w:val="22"/>
          <w:szCs w:val="22"/>
        </w:rPr>
        <w:t xml:space="preserve">Once a successful vendor consistently achieves this volume, they transition from the fixed subscription model to a hybrid model (e.g., R0 Subscription + 8% Take Rate). This progressive structure ensures that the commission is introduced only when the vendor has achieved significant, verifiable success using the platform, allowing </w:t>
      </w:r>
      <w:proofErr w:type="spellStart"/>
      <w:r w:rsidRPr="008112B8">
        <w:rPr>
          <w:rFonts w:asciiTheme="minorHAnsi" w:hAnsiTheme="minorHAnsi" w:cs="Arial"/>
          <w:color w:val="1F1F1F"/>
          <w:sz w:val="22"/>
          <w:szCs w:val="22"/>
        </w:rPr>
        <w:t>ReachHub</w:t>
      </w:r>
      <w:proofErr w:type="spellEnd"/>
      <w:r w:rsidRPr="008112B8">
        <w:rPr>
          <w:rFonts w:asciiTheme="minorHAnsi" w:hAnsiTheme="minorHAnsi" w:cs="Arial"/>
          <w:color w:val="1F1F1F"/>
          <w:sz w:val="22"/>
          <w:szCs w:val="22"/>
        </w:rPr>
        <w:t xml:space="preserve"> to grow revenue alongside its top performers.</w:t>
      </w:r>
      <w:r w:rsidRPr="008112B8">
        <w:rPr>
          <w:rFonts w:asciiTheme="minorHAnsi" w:hAnsiTheme="minorHAnsi" w:cs="Arial"/>
          <w:color w:val="444746"/>
          <w:sz w:val="14"/>
          <w:szCs w:val="14"/>
          <w:vertAlign w:val="superscript"/>
        </w:rPr>
        <w:t>31</w:t>
      </w:r>
    </w:p>
    <w:p w:rsidR="008112B8" w:rsidRPr="008112B8" w:rsidRDefault="008112B8" w:rsidP="008112B8">
      <w:pPr>
        <w:rPr>
          <w:rFonts w:cs="Times New Roman"/>
          <w:sz w:val="24"/>
          <w:szCs w:val="24"/>
        </w:rPr>
      </w:pPr>
    </w:p>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2. High-Margin Add-Ons: Premium Listings and Ad Boosts</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Once core functionality is monetized, secondary revenue streams can be layered on. Premium listings and ad boosts are high-margin, low-complexity revenue streams, typically structured as a Pay-Per-Impression (PPC) or small fixed monthly add-on.</w:t>
      </w:r>
      <w:r w:rsidRPr="008112B8">
        <w:rPr>
          <w:rFonts w:asciiTheme="minorHAnsi" w:hAnsiTheme="minorHAnsi"/>
          <w:color w:val="444746"/>
          <w:sz w:val="14"/>
          <w:szCs w:val="14"/>
          <w:vertAlign w:val="superscript"/>
        </w:rPr>
        <w:t>19</w:t>
      </w:r>
    </w:p>
    <w:p w:rsidR="008112B8" w:rsidRPr="008112B8" w:rsidRDefault="008112B8" w:rsidP="008112B8"/>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t>Strategic Trigger (100+ Vendors)</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This feature should only be introduced once the platform has reached a critical mass of </w:t>
      </w:r>
      <w:r w:rsidRPr="008112B8">
        <w:rPr>
          <w:rFonts w:asciiTheme="minorHAnsi" w:hAnsiTheme="minorHAnsi"/>
          <w:b/>
          <w:bCs/>
          <w:color w:val="1F1F1F"/>
          <w:sz w:val="22"/>
          <w:szCs w:val="22"/>
        </w:rPr>
        <w:t>100+ active, paying Vendors</w:t>
      </w:r>
      <w:r w:rsidRPr="008112B8">
        <w:rPr>
          <w:rFonts w:asciiTheme="minorHAnsi" w:hAnsiTheme="minorHAnsi"/>
          <w:color w:val="1F1F1F"/>
          <w:sz w:val="22"/>
          <w:szCs w:val="22"/>
        </w:rPr>
        <w:t xml:space="preserve"> in a given area. Advertising features rely on sufficient marketplace density: 100+ vendors ensure enough competition to incentivize bidding on premium placement and guarantees sufficient consumer traffic to deliver meaningful impressions, maximizing the ROI for the paying vendors.</w:t>
      </w:r>
      <w:r w:rsidRPr="008112B8">
        <w:rPr>
          <w:rFonts w:asciiTheme="minorHAnsi" w:hAnsiTheme="minorHAnsi"/>
          <w:color w:val="444746"/>
          <w:sz w:val="14"/>
          <w:szCs w:val="14"/>
          <w:vertAlign w:val="superscript"/>
        </w:rPr>
        <w:t>19</w:t>
      </w:r>
    </w:p>
    <w:p w:rsidR="008112B8" w:rsidRPr="008112B8" w:rsidRDefault="008112B8" w:rsidP="008112B8"/>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t>3. Future Consumer Loyalty Program</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The final phase of diversification should focus on monetizing the demand side through a Consumer Loyalty Program.</w:t>
      </w:r>
    </w:p>
    <w:p w:rsidR="008112B8" w:rsidRPr="008112B8" w:rsidRDefault="008112B8" w:rsidP="008112B8"/>
    <w:p w:rsidR="008112B8" w:rsidRPr="008112B8" w:rsidRDefault="008112B8" w:rsidP="008112B8">
      <w:pPr>
        <w:pStyle w:val="Heading4"/>
        <w:spacing w:before="0" w:beforeAutospacing="0" w:after="120" w:afterAutospacing="0"/>
        <w:rPr>
          <w:rFonts w:asciiTheme="minorHAnsi" w:hAnsiTheme="minorHAnsi"/>
        </w:rPr>
      </w:pPr>
      <w:r w:rsidRPr="008112B8">
        <w:rPr>
          <w:rFonts w:asciiTheme="minorHAnsi" w:hAnsiTheme="minorHAnsi"/>
          <w:color w:val="1F1F1F"/>
        </w:rPr>
        <w:lastRenderedPageBreak/>
        <w:t>Strategic Trigger (500+ Active Consumers)</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The program, priced at an estimated R59 per month, should be triggered only once the platform reaches </w:t>
      </w:r>
      <w:r w:rsidRPr="008112B8">
        <w:rPr>
          <w:rFonts w:asciiTheme="minorHAnsi" w:hAnsiTheme="minorHAnsi"/>
          <w:b/>
          <w:bCs/>
          <w:color w:val="1F1F1F"/>
          <w:sz w:val="22"/>
          <w:szCs w:val="22"/>
        </w:rPr>
        <w:t>500+ active Consumers</w:t>
      </w:r>
      <w:r w:rsidRPr="008112B8">
        <w:rPr>
          <w:rFonts w:asciiTheme="minorHAnsi" w:hAnsiTheme="minorHAnsi"/>
          <w:color w:val="1F1F1F"/>
          <w:sz w:val="22"/>
          <w:szCs w:val="22"/>
        </w:rPr>
        <w:t xml:space="preserve"> and demonstrates a high repeat order frequency. This level of network effect guarantees that the R59 fee can be justified by providing consumers with exclusive deals, priority access, or service enhancements. Introducing this consumer fee too early, before the marketplace offers a reliable, high-volume inventory, risks consumer churn.</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Table 4 outlines the implementation strategy and the essential triggers for scaling revenue streams beyond the subscription MVP.</w:t>
      </w:r>
    </w:p>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Table 4: Future Revenue Stream Implementation Strategy and Triggers</w:t>
      </w:r>
    </w:p>
    <w:p w:rsidR="008112B8" w:rsidRPr="008112B8" w:rsidRDefault="008112B8" w:rsidP="008112B8"/>
    <w:tbl>
      <w:tblPr>
        <w:tblW w:w="0" w:type="auto"/>
        <w:tblCellMar>
          <w:top w:w="15" w:type="dxa"/>
          <w:left w:w="15" w:type="dxa"/>
          <w:bottom w:w="15" w:type="dxa"/>
          <w:right w:w="15" w:type="dxa"/>
        </w:tblCellMar>
        <w:tblLook w:val="04A0" w:firstRow="1" w:lastRow="0" w:firstColumn="1" w:lastColumn="0" w:noHBand="0" w:noVBand="1"/>
      </w:tblPr>
      <w:tblGrid>
        <w:gridCol w:w="1779"/>
        <w:gridCol w:w="1653"/>
        <w:gridCol w:w="3329"/>
        <w:gridCol w:w="2625"/>
      </w:tblGrid>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Revenue Stream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Mechanism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Strategic Implementation Trigger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Monetization Goal</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Transaction Commission (Take 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8% Flat Fee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0" w:beforeAutospacing="0" w:after="0" w:afterAutospacing="0" w:line="0" w:lineRule="atLeast"/>
              <w:rPr>
                <w:rFonts w:asciiTheme="minorHAnsi" w:hAnsiTheme="minorHAnsi"/>
              </w:rPr>
            </w:pPr>
            <w:r w:rsidRPr="008112B8">
              <w:rPr>
                <w:rFonts w:asciiTheme="minorHAnsi" w:hAnsiTheme="minorHAnsi"/>
                <w:b/>
                <w:bCs/>
                <w:color w:val="1F1F1F"/>
                <w:sz w:val="22"/>
                <w:szCs w:val="22"/>
              </w:rPr>
              <w:t>Logistics Maturity</w:t>
            </w:r>
            <w:r w:rsidRPr="008112B8">
              <w:rPr>
                <w:rFonts w:asciiTheme="minorHAnsi" w:hAnsiTheme="minorHAnsi"/>
                <w:color w:val="1F1F1F"/>
                <w:sz w:val="22"/>
                <w:szCs w:val="22"/>
              </w:rPr>
              <w:t xml:space="preserve"> (Integrated Delivery launch) OR </w:t>
            </w:r>
            <w:r w:rsidRPr="008112B8">
              <w:rPr>
                <w:rFonts w:asciiTheme="minorHAnsi" w:hAnsiTheme="minorHAnsi"/>
                <w:b/>
                <w:bCs/>
                <w:color w:val="1F1F1F"/>
                <w:sz w:val="22"/>
                <w:szCs w:val="22"/>
              </w:rPr>
              <w:t>Volume Threshold</w:t>
            </w:r>
            <w:r w:rsidRPr="008112B8">
              <w:rPr>
                <w:rFonts w:asciiTheme="minorHAnsi" w:hAnsiTheme="minorHAnsi"/>
                <w:color w:val="1F1F1F"/>
                <w:sz w:val="22"/>
                <w:szCs w:val="22"/>
              </w:rPr>
              <w:t xml:space="preserve"> (Vendor GMV &gt; R6,237.50/month).</w:t>
            </w:r>
            <w:r w:rsidRPr="008112B8">
              <w:rPr>
                <w:rFonts w:asciiTheme="minorHAnsi" w:hAnsiTheme="minorHAnsi"/>
                <w:color w:val="444746"/>
                <w:sz w:val="14"/>
                <w:szCs w:val="14"/>
                <w:vertAlign w:val="superscript"/>
              </w:rPr>
              <w:t>29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Predictable volume-based revenue; shift to performance-based fee structure.</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Premium Listings &amp; Ad Boosts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PPC Add-on Fee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Critical Mass:</w:t>
            </w:r>
            <w:r w:rsidRPr="008112B8">
              <w:rPr>
                <w:rFonts w:asciiTheme="minorHAnsi" w:hAnsiTheme="minorHAnsi"/>
                <w:color w:val="1F1F1F"/>
                <w:sz w:val="22"/>
                <w:szCs w:val="22"/>
              </w:rPr>
              <w:t xml:space="preserve"> Platform reaches 100+ active, paying Vendors in a region.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High-margin secondary revenue; maximizes visibility ROI for paying Vendors.</w:t>
            </w:r>
          </w:p>
        </w:tc>
      </w:tr>
      <w:tr w:rsidR="008112B8" w:rsidRPr="008112B8" w:rsidTr="008112B8">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Consumer Loyalty Program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R59 Monthly Subscription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b/>
                <w:bCs/>
                <w:color w:val="1F1F1F"/>
                <w:sz w:val="22"/>
                <w:szCs w:val="22"/>
              </w:rPr>
              <w:t>Consumer Stickiness:</w:t>
            </w:r>
            <w:r w:rsidRPr="008112B8">
              <w:rPr>
                <w:rFonts w:asciiTheme="minorHAnsi" w:hAnsiTheme="minorHAnsi"/>
                <w:color w:val="1F1F1F"/>
                <w:sz w:val="22"/>
                <w:szCs w:val="22"/>
              </w:rPr>
              <w:t xml:space="preserve"> Platform reaches 500+ active Consumers with high repeat order frequency.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8112B8" w:rsidRPr="008112B8" w:rsidRDefault="008112B8">
            <w:pPr>
              <w:pStyle w:val="NormalWeb"/>
              <w:spacing w:before="120" w:beforeAutospacing="0" w:after="120" w:afterAutospacing="0" w:line="0" w:lineRule="atLeast"/>
              <w:rPr>
                <w:rFonts w:asciiTheme="minorHAnsi" w:hAnsiTheme="minorHAnsi"/>
              </w:rPr>
            </w:pPr>
            <w:r w:rsidRPr="008112B8">
              <w:rPr>
                <w:rFonts w:asciiTheme="minorHAnsi" w:hAnsiTheme="minorHAnsi"/>
                <w:color w:val="1F1F1F"/>
                <w:sz w:val="22"/>
                <w:szCs w:val="22"/>
              </w:rPr>
              <w:t>Demand-side revenue diversification; strengthens consumer retention and demand.</w:t>
            </w:r>
          </w:p>
        </w:tc>
      </w:tr>
    </w:tbl>
    <w:p w:rsidR="008112B8" w:rsidRPr="008112B8" w:rsidRDefault="008112B8" w:rsidP="008112B8"/>
    <w:p w:rsidR="008112B8" w:rsidRPr="008112B8" w:rsidRDefault="008112B8" w:rsidP="008112B8">
      <w:pPr>
        <w:pStyle w:val="Heading2"/>
        <w:spacing w:before="0" w:beforeAutospacing="0" w:after="120" w:afterAutospacing="0"/>
        <w:rPr>
          <w:rFonts w:asciiTheme="minorHAnsi" w:hAnsiTheme="minorHAnsi"/>
        </w:rPr>
      </w:pPr>
      <w:r w:rsidRPr="008112B8">
        <w:rPr>
          <w:rFonts w:asciiTheme="minorHAnsi" w:hAnsiTheme="minorHAnsi"/>
          <w:color w:val="1F1F1F"/>
        </w:rPr>
        <w:t>V. Conclusions and Recommendations</w:t>
      </w:r>
    </w:p>
    <w:p w:rsidR="008112B8" w:rsidRPr="008112B8" w:rsidRDefault="008112B8" w:rsidP="008112B8"/>
    <w:p w:rsidR="008112B8" w:rsidRPr="008112B8" w:rsidRDefault="008112B8" w:rsidP="008112B8">
      <w:pPr>
        <w:pStyle w:val="NormalWeb"/>
        <w:spacing w:before="0" w:beforeAutospacing="0" w:after="240" w:afterAutospacing="0"/>
        <w:rPr>
          <w:rFonts w:asciiTheme="minorHAnsi" w:hAnsiTheme="minorHAnsi"/>
        </w:rPr>
      </w:pPr>
      <w:r w:rsidRPr="008112B8">
        <w:rPr>
          <w:rFonts w:asciiTheme="minorHAnsi" w:hAnsiTheme="minorHAnsi"/>
          <w:color w:val="1F1F1F"/>
          <w:sz w:val="22"/>
          <w:szCs w:val="22"/>
        </w:rPr>
        <w:t xml:space="preserve">The </w:t>
      </w:r>
      <w:proofErr w:type="spellStart"/>
      <w:r w:rsidRPr="008112B8">
        <w:rPr>
          <w:rFonts w:asciiTheme="minorHAnsi" w:hAnsiTheme="minorHAnsi"/>
          <w:color w:val="1F1F1F"/>
          <w:sz w:val="22"/>
          <w:szCs w:val="22"/>
        </w:rPr>
        <w:t>ReachHub</w:t>
      </w:r>
      <w:proofErr w:type="spellEnd"/>
      <w:r w:rsidRPr="008112B8">
        <w:rPr>
          <w:rFonts w:asciiTheme="minorHAnsi" w:hAnsiTheme="minorHAnsi"/>
          <w:color w:val="1F1F1F"/>
          <w:sz w:val="22"/>
          <w:szCs w:val="22"/>
        </w:rPr>
        <w:t xml:space="preserve"> MVP Revenue Framework provides a robust, high-margin, and defensible monetization strategy </w:t>
      </w:r>
      <w:proofErr w:type="spellStart"/>
      <w:r w:rsidRPr="008112B8">
        <w:rPr>
          <w:rFonts w:asciiTheme="minorHAnsi" w:hAnsiTheme="minorHAnsi"/>
          <w:color w:val="1F1F1F"/>
          <w:sz w:val="22"/>
          <w:szCs w:val="22"/>
        </w:rPr>
        <w:t>centered</w:t>
      </w:r>
      <w:proofErr w:type="spellEnd"/>
      <w:r w:rsidRPr="008112B8">
        <w:rPr>
          <w:rFonts w:asciiTheme="minorHAnsi" w:hAnsiTheme="minorHAnsi"/>
          <w:color w:val="1F1F1F"/>
          <w:sz w:val="22"/>
          <w:szCs w:val="22"/>
        </w:rPr>
        <w:t xml:space="preserve"> entirely on the Vendor Subscription model. The analysis confirms that the proposed pricing structure (R199 Standard, R499 Pro) is highly competitive within the South African e-commerce SaaS market, specifically by eliminating the prohibitive upfront capital costs traditionally associated with establishing an online SME presence.</w:t>
      </w:r>
    </w:p>
    <w:p w:rsidR="008112B8" w:rsidRPr="008112B8" w:rsidRDefault="008112B8" w:rsidP="008112B8"/>
    <w:p w:rsidR="008112B8" w:rsidRPr="008112B8" w:rsidRDefault="008112B8" w:rsidP="008112B8">
      <w:pPr>
        <w:pStyle w:val="Heading3"/>
        <w:spacing w:before="0" w:beforeAutospacing="0" w:after="120" w:afterAutospacing="0"/>
        <w:rPr>
          <w:rFonts w:asciiTheme="minorHAnsi" w:hAnsiTheme="minorHAnsi"/>
        </w:rPr>
      </w:pPr>
      <w:r w:rsidRPr="008112B8">
        <w:rPr>
          <w:rFonts w:asciiTheme="minorHAnsi" w:hAnsiTheme="minorHAnsi"/>
          <w:color w:val="1F1F1F"/>
          <w:sz w:val="28"/>
          <w:szCs w:val="28"/>
        </w:rPr>
        <w:lastRenderedPageBreak/>
        <w:t>Key Strategic Recommendations:</w:t>
      </w:r>
    </w:p>
    <w:p w:rsidR="008112B8" w:rsidRPr="008112B8" w:rsidRDefault="008112B8" w:rsidP="008112B8">
      <w:r w:rsidRPr="008112B8">
        <w:br/>
      </w:r>
    </w:p>
    <w:p w:rsidR="008112B8" w:rsidRPr="008112B8" w:rsidRDefault="008112B8" w:rsidP="008112B8">
      <w:pPr>
        <w:pStyle w:val="NormalWeb"/>
        <w:numPr>
          <w:ilvl w:val="0"/>
          <w:numId w:val="46"/>
        </w:numPr>
        <w:spacing w:before="0" w:beforeAutospacing="0" w:after="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Enforce Aggressive Feature Gating:</w:t>
      </w:r>
      <w:r w:rsidRPr="008112B8">
        <w:rPr>
          <w:rFonts w:asciiTheme="minorHAnsi" w:hAnsiTheme="minorHAnsi" w:cs="Arial"/>
          <w:color w:val="1F1F1F"/>
          <w:sz w:val="22"/>
          <w:szCs w:val="22"/>
        </w:rPr>
        <w:t xml:space="preserve"> Success hinges on the effectiveness of the R0 (10-item limit) paywall. Conversion messaging must focus on the necessity of scale; the free tier must provide essential value (TTFV) but become functionally restrictive for any serious commercial activity.</w:t>
      </w:r>
      <w:r w:rsidRPr="008112B8">
        <w:rPr>
          <w:rFonts w:asciiTheme="minorHAnsi" w:hAnsiTheme="minorHAnsi" w:cs="Arial"/>
          <w:color w:val="444746"/>
          <w:sz w:val="14"/>
          <w:szCs w:val="14"/>
          <w:vertAlign w:val="superscript"/>
        </w:rPr>
        <w:t>1</w:t>
      </w:r>
    </w:p>
    <w:p w:rsidR="008112B8" w:rsidRPr="008112B8" w:rsidRDefault="008112B8" w:rsidP="008112B8">
      <w:pPr>
        <w:pStyle w:val="NormalWeb"/>
        <w:numPr>
          <w:ilvl w:val="0"/>
          <w:numId w:val="46"/>
        </w:numPr>
        <w:spacing w:before="0" w:beforeAutospacing="0" w:after="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Mitigate Churn Through Quantifiable ROI:</w:t>
      </w:r>
      <w:r w:rsidRPr="008112B8">
        <w:rPr>
          <w:rFonts w:asciiTheme="minorHAnsi" w:hAnsiTheme="minorHAnsi" w:cs="Arial"/>
          <w:color w:val="1F1F1F"/>
          <w:sz w:val="22"/>
          <w:szCs w:val="22"/>
        </w:rPr>
        <w:t xml:space="preserve"> The greatest operational risk is the high volatility and churn characteristic of the SMB sector (up to 43% annually).</w:t>
      </w:r>
      <w:r w:rsidRPr="008112B8">
        <w:rPr>
          <w:rFonts w:asciiTheme="minorHAnsi" w:hAnsiTheme="minorHAnsi" w:cs="Arial"/>
          <w:color w:val="444746"/>
          <w:sz w:val="14"/>
          <w:szCs w:val="14"/>
          <w:vertAlign w:val="superscript"/>
        </w:rPr>
        <w:t>3</w:t>
      </w:r>
      <w:r w:rsidRPr="008112B8">
        <w:rPr>
          <w:rFonts w:asciiTheme="minorHAnsi" w:hAnsiTheme="minorHAnsi" w:cs="Arial"/>
          <w:color w:val="1F1F1F"/>
          <w:sz w:val="22"/>
          <w:szCs w:val="22"/>
        </w:rPr>
        <w:t xml:space="preserve"> The platform must institute mandatory monthly reports for all paying vendors that explicitly calculate the financial return on their subscription investment, focusing heavily on proving the R499 Pro Tier's value through actionable, local market intelligence.</w:t>
      </w:r>
      <w:r w:rsidRPr="008112B8">
        <w:rPr>
          <w:rFonts w:asciiTheme="minorHAnsi" w:hAnsiTheme="minorHAnsi" w:cs="Arial"/>
          <w:color w:val="444746"/>
          <w:sz w:val="14"/>
          <w:szCs w:val="14"/>
          <w:vertAlign w:val="superscript"/>
        </w:rPr>
        <w:t>4</w:t>
      </w:r>
    </w:p>
    <w:p w:rsidR="008112B8" w:rsidRPr="008112B8" w:rsidRDefault="008112B8" w:rsidP="008112B8">
      <w:pPr>
        <w:pStyle w:val="NormalWeb"/>
        <w:numPr>
          <w:ilvl w:val="0"/>
          <w:numId w:val="46"/>
        </w:numPr>
        <w:spacing w:before="0" w:beforeAutospacing="0" w:after="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Prioritize ARPU through Optimization:</w:t>
      </w:r>
      <w:r w:rsidRPr="008112B8">
        <w:rPr>
          <w:rFonts w:asciiTheme="minorHAnsi" w:hAnsiTheme="minorHAnsi" w:cs="Arial"/>
          <w:color w:val="1F1F1F"/>
          <w:sz w:val="22"/>
          <w:szCs w:val="22"/>
        </w:rPr>
        <w:t xml:space="preserve"> Resources should be disproportionately allocated to upselling Standard users to the R499 Pro Tier. This strategy maximizes Vendor Lifetime Value (VLV) and increases the likelihood of achieving Net Negative Churn, securing long-term growth even if gross acquisition slows.</w:t>
      </w:r>
    </w:p>
    <w:p w:rsidR="008112B8" w:rsidRPr="008112B8" w:rsidRDefault="008112B8" w:rsidP="008112B8">
      <w:pPr>
        <w:pStyle w:val="NormalWeb"/>
        <w:numPr>
          <w:ilvl w:val="0"/>
          <w:numId w:val="46"/>
        </w:numPr>
        <w:spacing w:before="0" w:beforeAutospacing="0" w:after="120" w:afterAutospacing="0"/>
        <w:ind w:left="480"/>
        <w:textAlignment w:val="baseline"/>
        <w:rPr>
          <w:rFonts w:asciiTheme="minorHAnsi" w:hAnsiTheme="minorHAnsi" w:cs="Arial"/>
          <w:color w:val="000000"/>
          <w:sz w:val="22"/>
          <w:szCs w:val="22"/>
        </w:rPr>
      </w:pPr>
      <w:r w:rsidRPr="008112B8">
        <w:rPr>
          <w:rFonts w:asciiTheme="minorHAnsi" w:hAnsiTheme="minorHAnsi" w:cs="Arial"/>
          <w:b/>
          <w:bCs/>
          <w:color w:val="1F1F1F"/>
          <w:sz w:val="22"/>
          <w:szCs w:val="22"/>
        </w:rPr>
        <w:t>Sequence Scaling Triggers Deliberately:</w:t>
      </w:r>
      <w:r w:rsidRPr="008112B8">
        <w:rPr>
          <w:rFonts w:asciiTheme="minorHAnsi" w:hAnsiTheme="minorHAnsi" w:cs="Arial"/>
          <w:color w:val="1F1F1F"/>
          <w:sz w:val="22"/>
          <w:szCs w:val="22"/>
        </w:rPr>
        <w:t xml:space="preserve"> The transition to the commission-based hybrid model must be delayed until either the integrated delivery service is launched (justifying the fee with high-value logistics) or the vendor has achieved high success (GMV &gt; R6</w:t>
      </w:r>
      <w:proofErr w:type="gramStart"/>
      <w:r w:rsidRPr="008112B8">
        <w:rPr>
          <w:rFonts w:asciiTheme="minorHAnsi" w:hAnsiTheme="minorHAnsi" w:cs="Arial"/>
          <w:color w:val="1F1F1F"/>
          <w:sz w:val="22"/>
          <w:szCs w:val="22"/>
        </w:rPr>
        <w:t>,237.50</w:t>
      </w:r>
      <w:proofErr w:type="gramEnd"/>
      <w:r w:rsidRPr="008112B8">
        <w:rPr>
          <w:rFonts w:asciiTheme="minorHAnsi" w:hAnsiTheme="minorHAnsi" w:cs="Arial"/>
          <w:color w:val="1F1F1F"/>
          <w:sz w:val="22"/>
          <w:szCs w:val="22"/>
        </w:rPr>
        <w:t>). This sequencing avoids vendor friction and ensures that the shift to performance-based fees is perceived as a partnership, not a penalty.</w:t>
      </w:r>
      <w:r w:rsidRPr="008112B8">
        <w:rPr>
          <w:rFonts w:asciiTheme="minorHAnsi" w:hAnsiTheme="minorHAnsi" w:cs="Arial"/>
          <w:color w:val="444746"/>
          <w:sz w:val="14"/>
          <w:szCs w:val="14"/>
          <w:vertAlign w:val="superscript"/>
        </w:rPr>
        <w:t>25</w:t>
      </w:r>
    </w:p>
    <w:p w:rsidR="008112B8" w:rsidRPr="008112B8" w:rsidRDefault="008112B8" w:rsidP="008112B8">
      <w:pPr>
        <w:pStyle w:val="Heading4"/>
        <w:spacing w:before="255" w:beforeAutospacing="0" w:after="255" w:afterAutospacing="0"/>
        <w:rPr>
          <w:rFonts w:asciiTheme="minorHAnsi" w:hAnsiTheme="minorHAnsi"/>
        </w:rPr>
      </w:pPr>
      <w:r w:rsidRPr="008112B8">
        <w:rPr>
          <w:rFonts w:asciiTheme="minorHAnsi" w:hAnsiTheme="minorHAnsi"/>
          <w:color w:val="000000"/>
        </w:rPr>
        <w:t>Works cited</w:t>
      </w:r>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Beyond the Trial: Converting Freemium Users into Paying Subscribers - </w:t>
      </w:r>
      <w:proofErr w:type="spellStart"/>
      <w:r w:rsidRPr="008112B8">
        <w:rPr>
          <w:rFonts w:asciiTheme="minorHAnsi" w:hAnsiTheme="minorHAnsi" w:cs="Arial"/>
          <w:color w:val="000000"/>
        </w:rPr>
        <w:t>Kinde</w:t>
      </w:r>
      <w:proofErr w:type="spellEnd"/>
      <w:r w:rsidRPr="008112B8">
        <w:rPr>
          <w:rFonts w:asciiTheme="minorHAnsi" w:hAnsiTheme="minorHAnsi" w:cs="Arial"/>
          <w:color w:val="000000"/>
        </w:rPr>
        <w:t xml:space="preserve">, accessed on November 26, 2025, </w:t>
      </w:r>
      <w:hyperlink r:id="rId6" w:history="1">
        <w:r w:rsidRPr="008112B8">
          <w:rPr>
            <w:rStyle w:val="Hyperlink"/>
            <w:rFonts w:asciiTheme="minorHAnsi" w:hAnsiTheme="minorHAnsi" w:cs="Arial"/>
            <w:color w:val="0000EE"/>
          </w:rPr>
          <w:t>https://kinde.com/learn/billing/conversions/beyond-the-trial-converting-freemium-users-into-paying-subscribers/</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SaaS Conversion Rate Benchmarks: 2025 Industry Data - </w:t>
      </w:r>
      <w:proofErr w:type="spellStart"/>
      <w:r w:rsidRPr="008112B8">
        <w:rPr>
          <w:rFonts w:asciiTheme="minorHAnsi" w:hAnsiTheme="minorHAnsi" w:cs="Arial"/>
          <w:color w:val="000000"/>
        </w:rPr>
        <w:t>KlickFlow</w:t>
      </w:r>
      <w:proofErr w:type="spellEnd"/>
      <w:r w:rsidRPr="008112B8">
        <w:rPr>
          <w:rFonts w:asciiTheme="minorHAnsi" w:hAnsiTheme="minorHAnsi" w:cs="Arial"/>
          <w:color w:val="000000"/>
        </w:rPr>
        <w:t xml:space="preserve">, accessed on November 26, 2025, </w:t>
      </w:r>
      <w:hyperlink r:id="rId7" w:history="1">
        <w:r w:rsidRPr="008112B8">
          <w:rPr>
            <w:rStyle w:val="Hyperlink"/>
            <w:rFonts w:asciiTheme="minorHAnsi" w:hAnsiTheme="minorHAnsi" w:cs="Arial"/>
            <w:color w:val="0000EE"/>
          </w:rPr>
          <w:t>https://klickflow.io/saas-conversion-rate-benchmarks-2025-industry-data/</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Cost Sensitive &amp; Churn-Happy: Profiling Today's SMB - </w:t>
      </w:r>
      <w:proofErr w:type="spellStart"/>
      <w:r w:rsidRPr="008112B8">
        <w:rPr>
          <w:rFonts w:asciiTheme="minorHAnsi" w:hAnsiTheme="minorHAnsi" w:cs="Arial"/>
          <w:color w:val="000000"/>
        </w:rPr>
        <w:t>Localogy</w:t>
      </w:r>
      <w:proofErr w:type="spellEnd"/>
      <w:r w:rsidRPr="008112B8">
        <w:rPr>
          <w:rFonts w:asciiTheme="minorHAnsi" w:hAnsiTheme="minorHAnsi" w:cs="Arial"/>
          <w:color w:val="000000"/>
        </w:rPr>
        <w:t xml:space="preserve">, accessed on November 26, 2025, </w:t>
      </w:r>
      <w:hyperlink r:id="rId8" w:history="1">
        <w:r w:rsidRPr="008112B8">
          <w:rPr>
            <w:rStyle w:val="Hyperlink"/>
            <w:rFonts w:asciiTheme="minorHAnsi" w:hAnsiTheme="minorHAnsi" w:cs="Arial"/>
            <w:color w:val="0000EE"/>
          </w:rPr>
          <w:t>https://www.localogy.com/2025/10/cost-sensitive-churn-happy-profiling-todays-smb/</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AI Analytics for SMBs: Simple Insights That Drive ROI - </w:t>
      </w:r>
      <w:proofErr w:type="spellStart"/>
      <w:r w:rsidRPr="008112B8">
        <w:rPr>
          <w:rFonts w:asciiTheme="minorHAnsi" w:hAnsiTheme="minorHAnsi" w:cs="Arial"/>
          <w:color w:val="000000"/>
        </w:rPr>
        <w:t>AlterFlow</w:t>
      </w:r>
      <w:proofErr w:type="spellEnd"/>
      <w:r w:rsidRPr="008112B8">
        <w:rPr>
          <w:rFonts w:asciiTheme="minorHAnsi" w:hAnsiTheme="minorHAnsi" w:cs="Arial"/>
          <w:color w:val="000000"/>
        </w:rPr>
        <w:t xml:space="preserve"> AI, accessed on November 26, 2025, </w:t>
      </w:r>
      <w:hyperlink r:id="rId9" w:history="1">
        <w:r w:rsidRPr="008112B8">
          <w:rPr>
            <w:rStyle w:val="Hyperlink"/>
            <w:rFonts w:asciiTheme="minorHAnsi" w:hAnsiTheme="minorHAnsi" w:cs="Arial"/>
            <w:color w:val="0000EE"/>
          </w:rPr>
          <w:t>https://alterflow.ai/ai-analytics-smbs-simple-insights-that-drive-roi/</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The 2025 Guide to Implementing a Premium Pricing Strategy - SPP.co, accessed on November 26, 2025, </w:t>
      </w:r>
      <w:hyperlink r:id="rId10" w:history="1">
        <w:r w:rsidRPr="008112B8">
          <w:rPr>
            <w:rStyle w:val="Hyperlink"/>
            <w:rFonts w:asciiTheme="minorHAnsi" w:hAnsiTheme="minorHAnsi" w:cs="Arial"/>
            <w:color w:val="0000EE"/>
          </w:rPr>
          <w:t>https://spp.co/blog/premium-pricing-strategy/</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SaaS metrics: A complete guide to tracking business growth - Stripe, accessed on November 26, 2025, </w:t>
      </w:r>
      <w:hyperlink r:id="rId11" w:history="1">
        <w:r w:rsidRPr="008112B8">
          <w:rPr>
            <w:rStyle w:val="Hyperlink"/>
            <w:rFonts w:asciiTheme="minorHAnsi" w:hAnsiTheme="minorHAnsi" w:cs="Arial"/>
            <w:color w:val="0000EE"/>
          </w:rPr>
          <w:t>https://stripe.com/resources/more/essential-saas-metrics</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14 SaaS Metrics for Financial, Marketing, Sales and Customer Success | NetSuite, accessed on November 26, 2025, </w:t>
      </w:r>
      <w:hyperlink r:id="rId12" w:history="1">
        <w:r w:rsidRPr="008112B8">
          <w:rPr>
            <w:rStyle w:val="Hyperlink"/>
            <w:rFonts w:asciiTheme="minorHAnsi" w:hAnsiTheme="minorHAnsi" w:cs="Arial"/>
            <w:color w:val="0000EE"/>
          </w:rPr>
          <w:t>https://www.netsuite.com/portal/resource/articles/erp/saas-metrics.shtml</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The real cost of an e-commerce website in SA, accessed on November 26, 2025, </w:t>
      </w:r>
      <w:hyperlink r:id="rId13" w:history="1">
        <w:r w:rsidRPr="008112B8">
          <w:rPr>
            <w:rStyle w:val="Hyperlink"/>
            <w:rFonts w:asciiTheme="minorHAnsi" w:hAnsiTheme="minorHAnsi" w:cs="Arial"/>
            <w:color w:val="0000EE"/>
          </w:rPr>
          <w:t>https://www.procompare.co.za/articles/web-design/the-real-cost-of-an-e-commerce-website-in-sa</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lastRenderedPageBreak/>
        <w:t xml:space="preserve">Best Shopify alternatives in South Africa (2025) | </w:t>
      </w:r>
      <w:proofErr w:type="spellStart"/>
      <w:r w:rsidRPr="008112B8">
        <w:rPr>
          <w:rFonts w:asciiTheme="minorHAnsi" w:hAnsiTheme="minorHAnsi" w:cs="Arial"/>
          <w:color w:val="000000"/>
        </w:rPr>
        <w:t>Netcash</w:t>
      </w:r>
      <w:proofErr w:type="spellEnd"/>
      <w:r w:rsidRPr="008112B8">
        <w:rPr>
          <w:rFonts w:asciiTheme="minorHAnsi" w:hAnsiTheme="minorHAnsi" w:cs="Arial"/>
          <w:color w:val="000000"/>
        </w:rPr>
        <w:t xml:space="preserve">, accessed on November 26, 2025, </w:t>
      </w:r>
      <w:hyperlink r:id="rId14" w:history="1">
        <w:r w:rsidRPr="008112B8">
          <w:rPr>
            <w:rStyle w:val="Hyperlink"/>
            <w:rFonts w:asciiTheme="minorHAnsi" w:hAnsiTheme="minorHAnsi" w:cs="Arial"/>
            <w:color w:val="0000EE"/>
          </w:rPr>
          <w:t>https://netcash.co.za/blog/top-5-shopify-alternatives-in-south-africa-in-depth-comparisons/</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Leveraging Premium Pricing Strategy for Business Growth - TGL - </w:t>
      </w:r>
      <w:proofErr w:type="spellStart"/>
      <w:r w:rsidRPr="008112B8">
        <w:rPr>
          <w:rFonts w:asciiTheme="minorHAnsi" w:hAnsiTheme="minorHAnsi" w:cs="Arial"/>
          <w:color w:val="000000"/>
        </w:rPr>
        <w:t>TheGenieLab</w:t>
      </w:r>
      <w:proofErr w:type="spellEnd"/>
      <w:r w:rsidRPr="008112B8">
        <w:rPr>
          <w:rFonts w:asciiTheme="minorHAnsi" w:hAnsiTheme="minorHAnsi" w:cs="Arial"/>
          <w:color w:val="000000"/>
        </w:rPr>
        <w:t xml:space="preserve">, accessed on November 26, 2025, </w:t>
      </w:r>
      <w:hyperlink r:id="rId15" w:history="1">
        <w:r w:rsidRPr="008112B8">
          <w:rPr>
            <w:rStyle w:val="Hyperlink"/>
            <w:rFonts w:asciiTheme="minorHAnsi" w:hAnsiTheme="minorHAnsi" w:cs="Arial"/>
            <w:color w:val="0000EE"/>
          </w:rPr>
          <w:t>https://www.thegenielab.com/blogs/articles/leveraging-premium-pricing-strategy-for-business-growth</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B2B conversion rate optimization: 2025 strategies &amp; benchmarks - </w:t>
      </w:r>
      <w:proofErr w:type="spellStart"/>
      <w:r w:rsidRPr="008112B8">
        <w:rPr>
          <w:rFonts w:asciiTheme="minorHAnsi" w:hAnsiTheme="minorHAnsi" w:cs="Arial"/>
          <w:color w:val="000000"/>
        </w:rPr>
        <w:t>Unbounce</w:t>
      </w:r>
      <w:proofErr w:type="spellEnd"/>
      <w:r w:rsidRPr="008112B8">
        <w:rPr>
          <w:rFonts w:asciiTheme="minorHAnsi" w:hAnsiTheme="minorHAnsi" w:cs="Arial"/>
          <w:color w:val="000000"/>
        </w:rPr>
        <w:t xml:space="preserve">, accessed on November 26, 2025, </w:t>
      </w:r>
      <w:hyperlink r:id="rId16" w:history="1">
        <w:r w:rsidRPr="008112B8">
          <w:rPr>
            <w:rStyle w:val="Hyperlink"/>
            <w:rFonts w:asciiTheme="minorHAnsi" w:hAnsiTheme="minorHAnsi" w:cs="Arial"/>
            <w:color w:val="0000EE"/>
          </w:rPr>
          <w:t>https://unbounce.com/conversion-rate-optimization/b2b-conversion-rates/</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How To Build an Effective Free To Paid Conversion Strategy | by </w:t>
      </w:r>
      <w:proofErr w:type="spellStart"/>
      <w:r w:rsidRPr="008112B8">
        <w:rPr>
          <w:rFonts w:asciiTheme="minorHAnsi" w:hAnsiTheme="minorHAnsi" w:cs="Arial"/>
          <w:color w:val="000000"/>
        </w:rPr>
        <w:t>Userpilot</w:t>
      </w:r>
      <w:proofErr w:type="spellEnd"/>
      <w:r w:rsidRPr="008112B8">
        <w:rPr>
          <w:rFonts w:asciiTheme="minorHAnsi" w:hAnsiTheme="minorHAnsi" w:cs="Arial"/>
          <w:color w:val="000000"/>
        </w:rPr>
        <w:t xml:space="preserve"> Team - Medium, accessed on November 26, 2025, </w:t>
      </w:r>
      <w:hyperlink r:id="rId17" w:history="1">
        <w:r w:rsidRPr="008112B8">
          <w:rPr>
            <w:rStyle w:val="Hyperlink"/>
            <w:rFonts w:asciiTheme="minorHAnsi" w:hAnsiTheme="minorHAnsi" w:cs="Arial"/>
            <w:color w:val="0000EE"/>
          </w:rPr>
          <w:t>https://userpilot.medium.com/how-to-build-an-effective-free-to-paid-conversion-strategy-3261c07456d5</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B2B SaaS Pricing Models and Strategies to Scale Confidently - </w:t>
      </w:r>
      <w:proofErr w:type="spellStart"/>
      <w:r w:rsidRPr="008112B8">
        <w:rPr>
          <w:rFonts w:asciiTheme="minorHAnsi" w:hAnsiTheme="minorHAnsi" w:cs="Arial"/>
          <w:color w:val="000000"/>
        </w:rPr>
        <w:t>Kalungi</w:t>
      </w:r>
      <w:proofErr w:type="spellEnd"/>
      <w:r w:rsidRPr="008112B8">
        <w:rPr>
          <w:rFonts w:asciiTheme="minorHAnsi" w:hAnsiTheme="minorHAnsi" w:cs="Arial"/>
          <w:color w:val="000000"/>
        </w:rPr>
        <w:t xml:space="preserve">, Inc., accessed on November 26, 2025, </w:t>
      </w:r>
      <w:hyperlink r:id="rId18" w:history="1">
        <w:r w:rsidRPr="008112B8">
          <w:rPr>
            <w:rStyle w:val="Hyperlink"/>
            <w:rFonts w:asciiTheme="minorHAnsi" w:hAnsiTheme="minorHAnsi" w:cs="Arial"/>
            <w:color w:val="0000EE"/>
          </w:rPr>
          <w:t>https://www.kalungi.com/blog/saas-pricing-guide</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SaaS Free Trial Conversion Rate Benchmarks - First Page Sage, accessed on November 26, 2025, </w:t>
      </w:r>
      <w:hyperlink r:id="rId19" w:history="1">
        <w:r w:rsidRPr="008112B8">
          <w:rPr>
            <w:rStyle w:val="Hyperlink"/>
            <w:rFonts w:asciiTheme="minorHAnsi" w:hAnsiTheme="minorHAnsi" w:cs="Arial"/>
            <w:color w:val="0000EE"/>
          </w:rPr>
          <w:t>https://firstpagesage.com/seo-blog/saas-free-trial-conversion-rate-benchmarks/</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Free-to-Paid Conversion Rates Explained - Crazy Egg, accessed on November 26, 2025, </w:t>
      </w:r>
      <w:hyperlink r:id="rId20" w:history="1">
        <w:r w:rsidRPr="008112B8">
          <w:rPr>
            <w:rStyle w:val="Hyperlink"/>
            <w:rFonts w:asciiTheme="minorHAnsi" w:hAnsiTheme="minorHAnsi" w:cs="Arial"/>
            <w:color w:val="0000EE"/>
          </w:rPr>
          <w:t>https://www.crazyegg.com/blog/free-to-paid-conversion-rate/</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How to Start an Ecommerce Business in South Africa | HOSTAFRICA, accessed on November 26, 2025, </w:t>
      </w:r>
      <w:hyperlink r:id="rId21" w:history="1">
        <w:r w:rsidRPr="008112B8">
          <w:rPr>
            <w:rStyle w:val="Hyperlink"/>
            <w:rFonts w:asciiTheme="minorHAnsi" w:hAnsiTheme="minorHAnsi" w:cs="Arial"/>
            <w:color w:val="0000EE"/>
          </w:rPr>
          <w:t>https://hostafrica.co.za/blog/site-builder/how-to-start-an-ecommerce-business-in-south-africa/</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Measuring ROI of AI in SMB Growth - </w:t>
      </w:r>
      <w:proofErr w:type="spellStart"/>
      <w:r w:rsidRPr="008112B8">
        <w:rPr>
          <w:rFonts w:asciiTheme="minorHAnsi" w:hAnsiTheme="minorHAnsi" w:cs="Arial"/>
          <w:color w:val="000000"/>
        </w:rPr>
        <w:t>Dialzara</w:t>
      </w:r>
      <w:proofErr w:type="spellEnd"/>
      <w:r w:rsidRPr="008112B8">
        <w:rPr>
          <w:rFonts w:asciiTheme="minorHAnsi" w:hAnsiTheme="minorHAnsi" w:cs="Arial"/>
          <w:color w:val="000000"/>
        </w:rPr>
        <w:t xml:space="preserve">, accessed on November 26, 2025, </w:t>
      </w:r>
      <w:hyperlink r:id="rId22" w:history="1">
        <w:r w:rsidRPr="008112B8">
          <w:rPr>
            <w:rStyle w:val="Hyperlink"/>
            <w:rFonts w:asciiTheme="minorHAnsi" w:hAnsiTheme="minorHAnsi" w:cs="Arial"/>
            <w:color w:val="0000EE"/>
          </w:rPr>
          <w:t>https://dialzara.com/blog/measuring-roi-of-ai-in-smb-growth</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Reducing Churn - The 8-Step B2B SaaS Playbook | Paragon Blog, accessed on November 26, 2025, </w:t>
      </w:r>
      <w:hyperlink r:id="rId23" w:history="1">
        <w:r w:rsidRPr="008112B8">
          <w:rPr>
            <w:rStyle w:val="Hyperlink"/>
            <w:rFonts w:asciiTheme="minorHAnsi" w:hAnsiTheme="minorHAnsi" w:cs="Arial"/>
            <w:color w:val="0000EE"/>
          </w:rPr>
          <w:t>https://www.useparagon.com/blog/reducing-churn-the-8-step-b2b-saas-playbook</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How to pick successful revenue streams for your marketplace business model - </w:t>
      </w:r>
      <w:proofErr w:type="spellStart"/>
      <w:r w:rsidRPr="008112B8">
        <w:rPr>
          <w:rFonts w:asciiTheme="minorHAnsi" w:hAnsiTheme="minorHAnsi" w:cs="Arial"/>
          <w:color w:val="000000"/>
        </w:rPr>
        <w:t>Cobbleweb</w:t>
      </w:r>
      <w:proofErr w:type="spellEnd"/>
      <w:r w:rsidRPr="008112B8">
        <w:rPr>
          <w:rFonts w:asciiTheme="minorHAnsi" w:hAnsiTheme="minorHAnsi" w:cs="Arial"/>
          <w:color w:val="000000"/>
        </w:rPr>
        <w:t xml:space="preserve">, accessed on November 26, 2025, </w:t>
      </w:r>
      <w:hyperlink r:id="rId24" w:history="1">
        <w:r w:rsidRPr="008112B8">
          <w:rPr>
            <w:rStyle w:val="Hyperlink"/>
            <w:rFonts w:asciiTheme="minorHAnsi" w:hAnsiTheme="minorHAnsi" w:cs="Arial"/>
            <w:color w:val="0000EE"/>
          </w:rPr>
          <w:t>https://www.cobbleweb.co.uk/revenue-streams-for-marketplace-business-model/</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Pricing - </w:t>
      </w:r>
      <w:proofErr w:type="spellStart"/>
      <w:r w:rsidRPr="008112B8">
        <w:rPr>
          <w:rFonts w:asciiTheme="minorHAnsi" w:hAnsiTheme="minorHAnsi" w:cs="Arial"/>
          <w:color w:val="000000"/>
        </w:rPr>
        <w:t>SparkLayer</w:t>
      </w:r>
      <w:proofErr w:type="spellEnd"/>
      <w:r w:rsidRPr="008112B8">
        <w:rPr>
          <w:rFonts w:asciiTheme="minorHAnsi" w:hAnsiTheme="minorHAnsi" w:cs="Arial"/>
          <w:color w:val="000000"/>
        </w:rPr>
        <w:t xml:space="preserve"> - The powerful B2B </w:t>
      </w:r>
      <w:proofErr w:type="spellStart"/>
      <w:r w:rsidRPr="008112B8">
        <w:rPr>
          <w:rFonts w:asciiTheme="minorHAnsi" w:hAnsiTheme="minorHAnsi" w:cs="Arial"/>
          <w:color w:val="000000"/>
        </w:rPr>
        <w:t>eCommerce</w:t>
      </w:r>
      <w:proofErr w:type="spellEnd"/>
      <w:r w:rsidRPr="008112B8">
        <w:rPr>
          <w:rFonts w:asciiTheme="minorHAnsi" w:hAnsiTheme="minorHAnsi" w:cs="Arial"/>
          <w:color w:val="000000"/>
        </w:rPr>
        <w:t xml:space="preserve"> platform, accessed on November 26, 2025, </w:t>
      </w:r>
      <w:hyperlink r:id="rId25" w:history="1">
        <w:r w:rsidRPr="008112B8">
          <w:rPr>
            <w:rStyle w:val="Hyperlink"/>
            <w:rFonts w:asciiTheme="minorHAnsi" w:hAnsiTheme="minorHAnsi" w:cs="Arial"/>
            <w:color w:val="0000EE"/>
          </w:rPr>
          <w:t>https://www.sparklayer.io/pricing/</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B2B SaaS Pricing: Drive Growth with Effective Strategies - </w:t>
      </w:r>
      <w:proofErr w:type="spellStart"/>
      <w:r w:rsidRPr="008112B8">
        <w:rPr>
          <w:rFonts w:asciiTheme="minorHAnsi" w:hAnsiTheme="minorHAnsi" w:cs="Arial"/>
          <w:color w:val="000000"/>
        </w:rPr>
        <w:t>Aventi</w:t>
      </w:r>
      <w:proofErr w:type="spellEnd"/>
      <w:r w:rsidRPr="008112B8">
        <w:rPr>
          <w:rFonts w:asciiTheme="minorHAnsi" w:hAnsiTheme="minorHAnsi" w:cs="Arial"/>
          <w:color w:val="000000"/>
        </w:rPr>
        <w:t xml:space="preserve"> Group, accessed on November 26, 2025, </w:t>
      </w:r>
      <w:hyperlink r:id="rId26" w:history="1">
        <w:r w:rsidRPr="008112B8">
          <w:rPr>
            <w:rStyle w:val="Hyperlink"/>
            <w:rFonts w:asciiTheme="minorHAnsi" w:hAnsiTheme="minorHAnsi" w:cs="Arial"/>
            <w:color w:val="0000EE"/>
          </w:rPr>
          <w:t>https://aventigroup.com/blog/b2b-saas-pricing-strategies-how-to-build-a-model-that-drives-growth/</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Maximizing Value Creation with SaaS Pricing Optimization | by Armin Kakas - Medium, accessed on November 26, 2025, </w:t>
      </w:r>
      <w:hyperlink r:id="rId27" w:history="1">
        <w:r w:rsidRPr="008112B8">
          <w:rPr>
            <w:rStyle w:val="Hyperlink"/>
            <w:rFonts w:asciiTheme="minorHAnsi" w:hAnsiTheme="minorHAnsi" w:cs="Arial"/>
            <w:color w:val="0000EE"/>
          </w:rPr>
          <w:t>https://arminkakas.medium.com/maximizing-value-creation-with-saas-pricing-optimization-d20e8b9978db</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Average Customer Lifetime Value by Industry - Customer Gauge, accessed on November 26, 2025, </w:t>
      </w:r>
      <w:hyperlink r:id="rId28" w:history="1">
        <w:r w:rsidRPr="008112B8">
          <w:rPr>
            <w:rStyle w:val="Hyperlink"/>
            <w:rFonts w:asciiTheme="minorHAnsi" w:hAnsiTheme="minorHAnsi" w:cs="Arial"/>
            <w:color w:val="0000EE"/>
          </w:rPr>
          <w:t>https://customergauge.com/blog/average-customer-lifetime-value-by-industry</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Customer lifetime value (CLV): What it is + how to calculate it - </w:t>
      </w:r>
      <w:proofErr w:type="spellStart"/>
      <w:r w:rsidRPr="008112B8">
        <w:rPr>
          <w:rFonts w:asciiTheme="minorHAnsi" w:hAnsiTheme="minorHAnsi" w:cs="Arial"/>
          <w:color w:val="000000"/>
        </w:rPr>
        <w:t>Zendesk</w:t>
      </w:r>
      <w:proofErr w:type="spellEnd"/>
      <w:r w:rsidRPr="008112B8">
        <w:rPr>
          <w:rFonts w:asciiTheme="minorHAnsi" w:hAnsiTheme="minorHAnsi" w:cs="Arial"/>
          <w:color w:val="000000"/>
        </w:rPr>
        <w:t xml:space="preserve">, accessed on November 26, 2025, </w:t>
      </w:r>
      <w:hyperlink r:id="rId29" w:history="1">
        <w:r w:rsidRPr="008112B8">
          <w:rPr>
            <w:rStyle w:val="Hyperlink"/>
            <w:rFonts w:asciiTheme="minorHAnsi" w:hAnsiTheme="minorHAnsi" w:cs="Arial"/>
            <w:color w:val="0000EE"/>
          </w:rPr>
          <w:t>https://www.zendesk.com/blog/customer-service-and-lifetime-customer-value/</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lastRenderedPageBreak/>
        <w:t xml:space="preserve">Commission Models for Multi-Vendor Marketplaces: Pricing Strategies &amp; Revenue Optimization - </w:t>
      </w:r>
      <w:proofErr w:type="spellStart"/>
      <w:r w:rsidRPr="008112B8">
        <w:rPr>
          <w:rFonts w:asciiTheme="minorHAnsi" w:hAnsiTheme="minorHAnsi" w:cs="Arial"/>
          <w:color w:val="000000"/>
        </w:rPr>
        <w:t>Flxpoint</w:t>
      </w:r>
      <w:proofErr w:type="spellEnd"/>
      <w:r w:rsidRPr="008112B8">
        <w:rPr>
          <w:rFonts w:asciiTheme="minorHAnsi" w:hAnsiTheme="minorHAnsi" w:cs="Arial"/>
          <w:color w:val="000000"/>
        </w:rPr>
        <w:t xml:space="preserve">, accessed on November 26, 2025, </w:t>
      </w:r>
      <w:hyperlink r:id="rId30" w:history="1">
        <w:r w:rsidRPr="008112B8">
          <w:rPr>
            <w:rStyle w:val="Hyperlink"/>
            <w:rFonts w:asciiTheme="minorHAnsi" w:hAnsiTheme="minorHAnsi" w:cs="Arial"/>
            <w:color w:val="0000EE"/>
          </w:rPr>
          <w:t>https://flxpoint.com/blog/commission-models-for-multi-vendor-marketplaces</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What is a Take Rate? - Modern Treasury, accessed on November 26, 2025, </w:t>
      </w:r>
      <w:hyperlink r:id="rId31" w:history="1">
        <w:r w:rsidRPr="008112B8">
          <w:rPr>
            <w:rStyle w:val="Hyperlink"/>
            <w:rFonts w:asciiTheme="minorHAnsi" w:hAnsiTheme="minorHAnsi" w:cs="Arial"/>
            <w:color w:val="0000EE"/>
          </w:rPr>
          <w:t>https://www.moderntreasury.com/learn/what-is-take-rate</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Take Rate in Marketplaces Defined - </w:t>
      </w:r>
      <w:proofErr w:type="spellStart"/>
      <w:r w:rsidRPr="008112B8">
        <w:rPr>
          <w:rFonts w:asciiTheme="minorHAnsi" w:hAnsiTheme="minorHAnsi" w:cs="Arial"/>
          <w:color w:val="000000"/>
        </w:rPr>
        <w:t>GrowthMentor</w:t>
      </w:r>
      <w:proofErr w:type="spellEnd"/>
      <w:r w:rsidRPr="008112B8">
        <w:rPr>
          <w:rFonts w:asciiTheme="minorHAnsi" w:hAnsiTheme="minorHAnsi" w:cs="Arial"/>
          <w:color w:val="000000"/>
        </w:rPr>
        <w:t xml:space="preserve">, accessed on November 26, 2025, </w:t>
      </w:r>
      <w:hyperlink r:id="rId32" w:history="1">
        <w:r w:rsidRPr="008112B8">
          <w:rPr>
            <w:rStyle w:val="Hyperlink"/>
            <w:rFonts w:asciiTheme="minorHAnsi" w:hAnsiTheme="minorHAnsi" w:cs="Arial"/>
            <w:color w:val="0000EE"/>
          </w:rPr>
          <w:t>https://www.growthmentor.com/glossary/take-rate/</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Average Sales Commission Rates By Industry In 2025 - </w:t>
      </w:r>
      <w:proofErr w:type="spellStart"/>
      <w:r w:rsidRPr="008112B8">
        <w:rPr>
          <w:rFonts w:asciiTheme="minorHAnsi" w:hAnsiTheme="minorHAnsi" w:cs="Arial"/>
          <w:color w:val="000000"/>
        </w:rPr>
        <w:t>WPExperts</w:t>
      </w:r>
      <w:proofErr w:type="spellEnd"/>
      <w:r w:rsidRPr="008112B8">
        <w:rPr>
          <w:rFonts w:asciiTheme="minorHAnsi" w:hAnsiTheme="minorHAnsi" w:cs="Arial"/>
          <w:color w:val="000000"/>
        </w:rPr>
        <w:t xml:space="preserve">, accessed on November 26, 2025, </w:t>
      </w:r>
      <w:hyperlink r:id="rId33" w:history="1">
        <w:r w:rsidRPr="008112B8">
          <w:rPr>
            <w:rStyle w:val="Hyperlink"/>
            <w:rFonts w:asciiTheme="minorHAnsi" w:hAnsiTheme="minorHAnsi" w:cs="Arial"/>
            <w:color w:val="0000EE"/>
          </w:rPr>
          <w:t>https://wpexperts.io/blog/average-sales-commission-rates/</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What is a Take Rate in Marketplace e-Commerce? | Nautical, accessed on November 26, 2025, </w:t>
      </w:r>
      <w:hyperlink r:id="rId34" w:history="1">
        <w:r w:rsidRPr="008112B8">
          <w:rPr>
            <w:rStyle w:val="Hyperlink"/>
            <w:rFonts w:asciiTheme="minorHAnsi" w:hAnsiTheme="minorHAnsi" w:cs="Arial"/>
            <w:color w:val="0000EE"/>
          </w:rPr>
          <w:t>https://www.nauticalcommerce.com/glossary/take-rate</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What Marketplaces Aren't Telling You: How Commission Models Are Quietly Changing, accessed on November 26, 2025, </w:t>
      </w:r>
      <w:hyperlink r:id="rId35" w:history="1">
        <w:r w:rsidRPr="008112B8">
          <w:rPr>
            <w:rStyle w:val="Hyperlink"/>
            <w:rFonts w:asciiTheme="minorHAnsi" w:hAnsiTheme="minorHAnsi" w:cs="Arial"/>
            <w:color w:val="0000EE"/>
          </w:rPr>
          <w:t>https://www.trykitchenhub.com/post/what-marketplaces-arent-telling-you-how-commission-models-are-quietly-changing</w:t>
        </w:r>
      </w:hyperlink>
    </w:p>
    <w:p w:rsidR="008112B8" w:rsidRPr="008112B8" w:rsidRDefault="008112B8" w:rsidP="008112B8">
      <w:pPr>
        <w:pStyle w:val="NormalWeb"/>
        <w:numPr>
          <w:ilvl w:val="0"/>
          <w:numId w:val="47"/>
        </w:numPr>
        <w:spacing w:before="0" w:beforeAutospacing="0" w:after="0" w:afterAutospacing="0"/>
        <w:ind w:left="600"/>
        <w:textAlignment w:val="baseline"/>
        <w:rPr>
          <w:rFonts w:asciiTheme="minorHAnsi" w:hAnsiTheme="minorHAnsi" w:cs="Arial"/>
          <w:color w:val="000000"/>
          <w:sz w:val="22"/>
          <w:szCs w:val="22"/>
        </w:rPr>
      </w:pPr>
      <w:r w:rsidRPr="008112B8">
        <w:rPr>
          <w:rFonts w:asciiTheme="minorHAnsi" w:hAnsiTheme="minorHAnsi" w:cs="Arial"/>
          <w:color w:val="000000"/>
        </w:rPr>
        <w:t xml:space="preserve">Four Pros and Three Cons of Usage-Based Pricing (and How to Know If It's Right for You), accessed on November 26, 2025, </w:t>
      </w:r>
      <w:hyperlink r:id="rId36" w:history="1">
        <w:r w:rsidRPr="008112B8">
          <w:rPr>
            <w:rStyle w:val="Hyperlink"/>
            <w:rFonts w:asciiTheme="minorHAnsi" w:hAnsiTheme="minorHAnsi" w:cs="Arial"/>
            <w:color w:val="0000EE"/>
          </w:rPr>
          <w:t>https://www.salesforce.com/blog/usage-based-pricing/</w:t>
        </w:r>
      </w:hyperlink>
    </w:p>
    <w:bookmarkEnd w:id="0"/>
    <w:p w:rsidR="008112B8" w:rsidRPr="008112B8" w:rsidRDefault="008112B8" w:rsidP="008112B8"/>
    <w:sectPr w:rsidR="008112B8" w:rsidRPr="00811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E0F30"/>
    <w:multiLevelType w:val="multilevel"/>
    <w:tmpl w:val="B1580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245952"/>
    <w:multiLevelType w:val="multilevel"/>
    <w:tmpl w:val="EA929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F36732"/>
    <w:multiLevelType w:val="multilevel"/>
    <w:tmpl w:val="8E340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641E4E"/>
    <w:multiLevelType w:val="multilevel"/>
    <w:tmpl w:val="872A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F27E2A"/>
    <w:multiLevelType w:val="multilevel"/>
    <w:tmpl w:val="D6D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286012"/>
    <w:multiLevelType w:val="multilevel"/>
    <w:tmpl w:val="96E4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F0269F"/>
    <w:multiLevelType w:val="multilevel"/>
    <w:tmpl w:val="9E16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C151EA"/>
    <w:multiLevelType w:val="multilevel"/>
    <w:tmpl w:val="AE021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79F5F31"/>
    <w:multiLevelType w:val="multilevel"/>
    <w:tmpl w:val="5DC6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023177"/>
    <w:multiLevelType w:val="multilevel"/>
    <w:tmpl w:val="AA5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B56104"/>
    <w:multiLevelType w:val="multilevel"/>
    <w:tmpl w:val="5E8C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DF1076"/>
    <w:multiLevelType w:val="multilevel"/>
    <w:tmpl w:val="6F6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547C8B"/>
    <w:multiLevelType w:val="multilevel"/>
    <w:tmpl w:val="42A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5A23EF"/>
    <w:multiLevelType w:val="multilevel"/>
    <w:tmpl w:val="6E40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586369"/>
    <w:multiLevelType w:val="multilevel"/>
    <w:tmpl w:val="E9B4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B027C6"/>
    <w:multiLevelType w:val="multilevel"/>
    <w:tmpl w:val="1BBC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20A2315"/>
    <w:multiLevelType w:val="multilevel"/>
    <w:tmpl w:val="3804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3E001D"/>
    <w:multiLevelType w:val="multilevel"/>
    <w:tmpl w:val="20D4B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82A1BC9"/>
    <w:multiLevelType w:val="multilevel"/>
    <w:tmpl w:val="27EE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3B1797"/>
    <w:multiLevelType w:val="multilevel"/>
    <w:tmpl w:val="69984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E8C643E"/>
    <w:multiLevelType w:val="multilevel"/>
    <w:tmpl w:val="CB32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C3268B"/>
    <w:multiLevelType w:val="multilevel"/>
    <w:tmpl w:val="B7A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EF34F01"/>
    <w:multiLevelType w:val="multilevel"/>
    <w:tmpl w:val="4304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F2255E5"/>
    <w:multiLevelType w:val="multilevel"/>
    <w:tmpl w:val="E64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6F712B"/>
    <w:multiLevelType w:val="multilevel"/>
    <w:tmpl w:val="B20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67C79AB"/>
    <w:multiLevelType w:val="multilevel"/>
    <w:tmpl w:val="C04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133BC7"/>
    <w:multiLevelType w:val="multilevel"/>
    <w:tmpl w:val="10D0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A17449"/>
    <w:multiLevelType w:val="multilevel"/>
    <w:tmpl w:val="EB1A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D440B25"/>
    <w:multiLevelType w:val="multilevel"/>
    <w:tmpl w:val="6F2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3530E98"/>
    <w:multiLevelType w:val="multilevel"/>
    <w:tmpl w:val="FC1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1472F9"/>
    <w:multiLevelType w:val="multilevel"/>
    <w:tmpl w:val="F800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B815DCC"/>
    <w:multiLevelType w:val="multilevel"/>
    <w:tmpl w:val="6392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0102C56"/>
    <w:multiLevelType w:val="multilevel"/>
    <w:tmpl w:val="30AA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50F6441"/>
    <w:multiLevelType w:val="multilevel"/>
    <w:tmpl w:val="DF5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916CFD"/>
    <w:multiLevelType w:val="multilevel"/>
    <w:tmpl w:val="DEE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FA55B4"/>
    <w:multiLevelType w:val="multilevel"/>
    <w:tmpl w:val="2486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F550118"/>
    <w:multiLevelType w:val="multilevel"/>
    <w:tmpl w:val="2886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E05D43"/>
    <w:multiLevelType w:val="multilevel"/>
    <w:tmpl w:val="4F3C1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A34226C"/>
    <w:multiLevelType w:val="multilevel"/>
    <w:tmpl w:val="89BA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DED7886"/>
    <w:multiLevelType w:val="multilevel"/>
    <w:tmpl w:val="E832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E76619A"/>
    <w:multiLevelType w:val="multilevel"/>
    <w:tmpl w:val="488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5D83A64"/>
    <w:multiLevelType w:val="multilevel"/>
    <w:tmpl w:val="B77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5F519C7"/>
    <w:multiLevelType w:val="multilevel"/>
    <w:tmpl w:val="53A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8D13A2F"/>
    <w:multiLevelType w:val="multilevel"/>
    <w:tmpl w:val="955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6E39F7"/>
    <w:multiLevelType w:val="multilevel"/>
    <w:tmpl w:val="F626B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E5F66AF"/>
    <w:multiLevelType w:val="multilevel"/>
    <w:tmpl w:val="3A7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B33839"/>
    <w:multiLevelType w:val="multilevel"/>
    <w:tmpl w:val="34F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2"/>
  </w:num>
  <w:num w:numId="3">
    <w:abstractNumId w:val="14"/>
  </w:num>
  <w:num w:numId="4">
    <w:abstractNumId w:val="41"/>
  </w:num>
  <w:num w:numId="5">
    <w:abstractNumId w:val="6"/>
  </w:num>
  <w:num w:numId="6">
    <w:abstractNumId w:val="8"/>
  </w:num>
  <w:num w:numId="7">
    <w:abstractNumId w:val="38"/>
  </w:num>
  <w:num w:numId="8">
    <w:abstractNumId w:val="7"/>
  </w:num>
  <w:num w:numId="9">
    <w:abstractNumId w:val="37"/>
  </w:num>
  <w:num w:numId="10">
    <w:abstractNumId w:val="28"/>
  </w:num>
  <w:num w:numId="11">
    <w:abstractNumId w:val="24"/>
  </w:num>
  <w:num w:numId="12">
    <w:abstractNumId w:val="21"/>
  </w:num>
  <w:num w:numId="13">
    <w:abstractNumId w:val="29"/>
  </w:num>
  <w:num w:numId="14">
    <w:abstractNumId w:val="32"/>
  </w:num>
  <w:num w:numId="15">
    <w:abstractNumId w:val="11"/>
  </w:num>
  <w:num w:numId="16">
    <w:abstractNumId w:val="44"/>
  </w:num>
  <w:num w:numId="17">
    <w:abstractNumId w:val="1"/>
  </w:num>
  <w:num w:numId="18">
    <w:abstractNumId w:val="10"/>
  </w:num>
  <w:num w:numId="19">
    <w:abstractNumId w:val="4"/>
  </w:num>
  <w:num w:numId="20">
    <w:abstractNumId w:val="46"/>
  </w:num>
  <w:num w:numId="21">
    <w:abstractNumId w:val="40"/>
  </w:num>
  <w:num w:numId="22">
    <w:abstractNumId w:val="18"/>
  </w:num>
  <w:num w:numId="23">
    <w:abstractNumId w:val="19"/>
  </w:num>
  <w:num w:numId="24">
    <w:abstractNumId w:val="45"/>
  </w:num>
  <w:num w:numId="25">
    <w:abstractNumId w:val="0"/>
  </w:num>
  <w:num w:numId="26">
    <w:abstractNumId w:val="2"/>
  </w:num>
  <w:num w:numId="27">
    <w:abstractNumId w:val="30"/>
  </w:num>
  <w:num w:numId="28">
    <w:abstractNumId w:val="20"/>
  </w:num>
  <w:num w:numId="29">
    <w:abstractNumId w:val="25"/>
  </w:num>
  <w:num w:numId="30">
    <w:abstractNumId w:val="26"/>
  </w:num>
  <w:num w:numId="31">
    <w:abstractNumId w:val="36"/>
  </w:num>
  <w:num w:numId="32">
    <w:abstractNumId w:val="22"/>
  </w:num>
  <w:num w:numId="33">
    <w:abstractNumId w:val="42"/>
  </w:num>
  <w:num w:numId="34">
    <w:abstractNumId w:val="31"/>
  </w:num>
  <w:num w:numId="35">
    <w:abstractNumId w:val="17"/>
  </w:num>
  <w:num w:numId="36">
    <w:abstractNumId w:val="3"/>
  </w:num>
  <w:num w:numId="37">
    <w:abstractNumId w:val="13"/>
  </w:num>
  <w:num w:numId="38">
    <w:abstractNumId w:val="43"/>
  </w:num>
  <w:num w:numId="39">
    <w:abstractNumId w:val="5"/>
  </w:num>
  <w:num w:numId="40">
    <w:abstractNumId w:val="23"/>
  </w:num>
  <w:num w:numId="41">
    <w:abstractNumId w:val="16"/>
  </w:num>
  <w:num w:numId="42">
    <w:abstractNumId w:val="9"/>
  </w:num>
  <w:num w:numId="43">
    <w:abstractNumId w:val="27"/>
  </w:num>
  <w:num w:numId="44">
    <w:abstractNumId w:val="39"/>
  </w:num>
  <w:num w:numId="45">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46">
    <w:abstractNumId w:val="35"/>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922"/>
    <w:rsid w:val="000656F0"/>
    <w:rsid w:val="001161AC"/>
    <w:rsid w:val="002034B4"/>
    <w:rsid w:val="00751FEA"/>
    <w:rsid w:val="00776869"/>
    <w:rsid w:val="008112B8"/>
    <w:rsid w:val="00BB010D"/>
    <w:rsid w:val="00EB0C92"/>
    <w:rsid w:val="00ED09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09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ED0922"/>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ED0922"/>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ED0922"/>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922"/>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ED0922"/>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ED0922"/>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ED0922"/>
    <w:rPr>
      <w:rFonts w:ascii="Times New Roman" w:eastAsia="Times New Roman" w:hAnsi="Times New Roman" w:cs="Times New Roman"/>
      <w:b/>
      <w:bCs/>
      <w:sz w:val="24"/>
      <w:szCs w:val="24"/>
      <w:lang w:eastAsia="en-ZA"/>
    </w:rPr>
  </w:style>
  <w:style w:type="paragraph" w:styleId="NormalWeb">
    <w:name w:val="Normal (Web)"/>
    <w:basedOn w:val="Normal"/>
    <w:uiPriority w:val="99"/>
    <w:unhideWhenUsed/>
    <w:rsid w:val="00ED092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ED0922"/>
    <w:rPr>
      <w:b/>
      <w:bCs/>
    </w:rPr>
  </w:style>
  <w:style w:type="character" w:styleId="Hyperlink">
    <w:name w:val="Hyperlink"/>
    <w:basedOn w:val="DefaultParagraphFont"/>
    <w:uiPriority w:val="99"/>
    <w:semiHidden/>
    <w:unhideWhenUsed/>
    <w:rsid w:val="008112B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09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ED0922"/>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ED0922"/>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ED0922"/>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922"/>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ED0922"/>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ED0922"/>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ED0922"/>
    <w:rPr>
      <w:rFonts w:ascii="Times New Roman" w:eastAsia="Times New Roman" w:hAnsi="Times New Roman" w:cs="Times New Roman"/>
      <w:b/>
      <w:bCs/>
      <w:sz w:val="24"/>
      <w:szCs w:val="24"/>
      <w:lang w:eastAsia="en-ZA"/>
    </w:rPr>
  </w:style>
  <w:style w:type="paragraph" w:styleId="NormalWeb">
    <w:name w:val="Normal (Web)"/>
    <w:basedOn w:val="Normal"/>
    <w:uiPriority w:val="99"/>
    <w:unhideWhenUsed/>
    <w:rsid w:val="00ED092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ED0922"/>
    <w:rPr>
      <w:b/>
      <w:bCs/>
    </w:rPr>
  </w:style>
  <w:style w:type="character" w:styleId="Hyperlink">
    <w:name w:val="Hyperlink"/>
    <w:basedOn w:val="DefaultParagraphFont"/>
    <w:uiPriority w:val="99"/>
    <w:semiHidden/>
    <w:unhideWhenUsed/>
    <w:rsid w:val="008112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08440">
      <w:bodyDiv w:val="1"/>
      <w:marLeft w:val="0"/>
      <w:marRight w:val="0"/>
      <w:marTop w:val="0"/>
      <w:marBottom w:val="0"/>
      <w:divBdr>
        <w:top w:val="none" w:sz="0" w:space="0" w:color="auto"/>
        <w:left w:val="none" w:sz="0" w:space="0" w:color="auto"/>
        <w:bottom w:val="none" w:sz="0" w:space="0" w:color="auto"/>
        <w:right w:val="none" w:sz="0" w:space="0" w:color="auto"/>
      </w:divBdr>
      <w:divsChild>
        <w:div w:id="1686397673">
          <w:marLeft w:val="0"/>
          <w:marRight w:val="0"/>
          <w:marTop w:val="0"/>
          <w:marBottom w:val="0"/>
          <w:divBdr>
            <w:top w:val="none" w:sz="0" w:space="0" w:color="auto"/>
            <w:left w:val="none" w:sz="0" w:space="0" w:color="auto"/>
            <w:bottom w:val="none" w:sz="0" w:space="0" w:color="auto"/>
            <w:right w:val="none" w:sz="0" w:space="0" w:color="auto"/>
          </w:divBdr>
          <w:divsChild>
            <w:div w:id="1812360956">
              <w:marLeft w:val="0"/>
              <w:marRight w:val="0"/>
              <w:marTop w:val="0"/>
              <w:marBottom w:val="0"/>
              <w:divBdr>
                <w:top w:val="none" w:sz="0" w:space="0" w:color="auto"/>
                <w:left w:val="none" w:sz="0" w:space="0" w:color="auto"/>
                <w:bottom w:val="none" w:sz="0" w:space="0" w:color="auto"/>
                <w:right w:val="none" w:sz="0" w:space="0" w:color="auto"/>
              </w:divBdr>
              <w:divsChild>
                <w:div w:id="2022857376">
                  <w:marLeft w:val="0"/>
                  <w:marRight w:val="0"/>
                  <w:marTop w:val="0"/>
                  <w:marBottom w:val="0"/>
                  <w:divBdr>
                    <w:top w:val="none" w:sz="0" w:space="0" w:color="auto"/>
                    <w:left w:val="none" w:sz="0" w:space="0" w:color="auto"/>
                    <w:bottom w:val="none" w:sz="0" w:space="0" w:color="auto"/>
                    <w:right w:val="none" w:sz="0" w:space="0" w:color="auto"/>
                  </w:divBdr>
                </w:div>
                <w:div w:id="4063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1360">
          <w:marLeft w:val="0"/>
          <w:marRight w:val="0"/>
          <w:marTop w:val="0"/>
          <w:marBottom w:val="0"/>
          <w:divBdr>
            <w:top w:val="none" w:sz="0" w:space="0" w:color="auto"/>
            <w:left w:val="none" w:sz="0" w:space="0" w:color="auto"/>
            <w:bottom w:val="none" w:sz="0" w:space="0" w:color="auto"/>
            <w:right w:val="none" w:sz="0" w:space="0" w:color="auto"/>
          </w:divBdr>
          <w:divsChild>
            <w:div w:id="1691450980">
              <w:marLeft w:val="0"/>
              <w:marRight w:val="0"/>
              <w:marTop w:val="0"/>
              <w:marBottom w:val="0"/>
              <w:divBdr>
                <w:top w:val="none" w:sz="0" w:space="0" w:color="auto"/>
                <w:left w:val="none" w:sz="0" w:space="0" w:color="auto"/>
                <w:bottom w:val="none" w:sz="0" w:space="0" w:color="auto"/>
                <w:right w:val="none" w:sz="0" w:space="0" w:color="auto"/>
              </w:divBdr>
              <w:divsChild>
                <w:div w:id="4332967">
                  <w:marLeft w:val="0"/>
                  <w:marRight w:val="0"/>
                  <w:marTop w:val="0"/>
                  <w:marBottom w:val="0"/>
                  <w:divBdr>
                    <w:top w:val="none" w:sz="0" w:space="0" w:color="auto"/>
                    <w:left w:val="none" w:sz="0" w:space="0" w:color="auto"/>
                    <w:bottom w:val="none" w:sz="0" w:space="0" w:color="auto"/>
                    <w:right w:val="none" w:sz="0" w:space="0" w:color="auto"/>
                  </w:divBdr>
                </w:div>
                <w:div w:id="12666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709">
          <w:marLeft w:val="0"/>
          <w:marRight w:val="0"/>
          <w:marTop w:val="0"/>
          <w:marBottom w:val="0"/>
          <w:divBdr>
            <w:top w:val="none" w:sz="0" w:space="0" w:color="auto"/>
            <w:left w:val="none" w:sz="0" w:space="0" w:color="auto"/>
            <w:bottom w:val="none" w:sz="0" w:space="0" w:color="auto"/>
            <w:right w:val="none" w:sz="0" w:space="0" w:color="auto"/>
          </w:divBdr>
          <w:divsChild>
            <w:div w:id="1920018530">
              <w:marLeft w:val="0"/>
              <w:marRight w:val="0"/>
              <w:marTop w:val="0"/>
              <w:marBottom w:val="0"/>
              <w:divBdr>
                <w:top w:val="none" w:sz="0" w:space="0" w:color="auto"/>
                <w:left w:val="none" w:sz="0" w:space="0" w:color="auto"/>
                <w:bottom w:val="none" w:sz="0" w:space="0" w:color="auto"/>
                <w:right w:val="none" w:sz="0" w:space="0" w:color="auto"/>
              </w:divBdr>
              <w:divsChild>
                <w:div w:id="2067602709">
                  <w:marLeft w:val="0"/>
                  <w:marRight w:val="0"/>
                  <w:marTop w:val="0"/>
                  <w:marBottom w:val="0"/>
                  <w:divBdr>
                    <w:top w:val="none" w:sz="0" w:space="0" w:color="auto"/>
                    <w:left w:val="none" w:sz="0" w:space="0" w:color="auto"/>
                    <w:bottom w:val="none" w:sz="0" w:space="0" w:color="auto"/>
                    <w:right w:val="none" w:sz="0" w:space="0" w:color="auto"/>
                  </w:divBdr>
                </w:div>
                <w:div w:id="52475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4935">
          <w:marLeft w:val="0"/>
          <w:marRight w:val="0"/>
          <w:marTop w:val="0"/>
          <w:marBottom w:val="0"/>
          <w:divBdr>
            <w:top w:val="none" w:sz="0" w:space="0" w:color="auto"/>
            <w:left w:val="none" w:sz="0" w:space="0" w:color="auto"/>
            <w:bottom w:val="none" w:sz="0" w:space="0" w:color="auto"/>
            <w:right w:val="none" w:sz="0" w:space="0" w:color="auto"/>
          </w:divBdr>
          <w:divsChild>
            <w:div w:id="1709838523">
              <w:marLeft w:val="0"/>
              <w:marRight w:val="0"/>
              <w:marTop w:val="0"/>
              <w:marBottom w:val="0"/>
              <w:divBdr>
                <w:top w:val="none" w:sz="0" w:space="0" w:color="auto"/>
                <w:left w:val="none" w:sz="0" w:space="0" w:color="auto"/>
                <w:bottom w:val="none" w:sz="0" w:space="0" w:color="auto"/>
                <w:right w:val="none" w:sz="0" w:space="0" w:color="auto"/>
              </w:divBdr>
              <w:divsChild>
                <w:div w:id="649140972">
                  <w:marLeft w:val="0"/>
                  <w:marRight w:val="0"/>
                  <w:marTop w:val="0"/>
                  <w:marBottom w:val="0"/>
                  <w:divBdr>
                    <w:top w:val="none" w:sz="0" w:space="0" w:color="auto"/>
                    <w:left w:val="none" w:sz="0" w:space="0" w:color="auto"/>
                    <w:bottom w:val="none" w:sz="0" w:space="0" w:color="auto"/>
                    <w:right w:val="none" w:sz="0" w:space="0" w:color="auto"/>
                  </w:divBdr>
                </w:div>
                <w:div w:id="183556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8308">
          <w:marLeft w:val="0"/>
          <w:marRight w:val="0"/>
          <w:marTop w:val="0"/>
          <w:marBottom w:val="0"/>
          <w:divBdr>
            <w:top w:val="none" w:sz="0" w:space="0" w:color="auto"/>
            <w:left w:val="none" w:sz="0" w:space="0" w:color="auto"/>
            <w:bottom w:val="none" w:sz="0" w:space="0" w:color="auto"/>
            <w:right w:val="none" w:sz="0" w:space="0" w:color="auto"/>
          </w:divBdr>
          <w:divsChild>
            <w:div w:id="2101486627">
              <w:marLeft w:val="0"/>
              <w:marRight w:val="0"/>
              <w:marTop w:val="0"/>
              <w:marBottom w:val="0"/>
              <w:divBdr>
                <w:top w:val="none" w:sz="0" w:space="0" w:color="auto"/>
                <w:left w:val="none" w:sz="0" w:space="0" w:color="auto"/>
                <w:bottom w:val="none" w:sz="0" w:space="0" w:color="auto"/>
                <w:right w:val="none" w:sz="0" w:space="0" w:color="auto"/>
              </w:divBdr>
              <w:divsChild>
                <w:div w:id="1480995891">
                  <w:marLeft w:val="0"/>
                  <w:marRight w:val="0"/>
                  <w:marTop w:val="0"/>
                  <w:marBottom w:val="0"/>
                  <w:divBdr>
                    <w:top w:val="none" w:sz="0" w:space="0" w:color="auto"/>
                    <w:left w:val="none" w:sz="0" w:space="0" w:color="auto"/>
                    <w:bottom w:val="none" w:sz="0" w:space="0" w:color="auto"/>
                    <w:right w:val="none" w:sz="0" w:space="0" w:color="auto"/>
                  </w:divBdr>
                </w:div>
                <w:div w:id="17331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60685">
          <w:marLeft w:val="0"/>
          <w:marRight w:val="0"/>
          <w:marTop w:val="0"/>
          <w:marBottom w:val="0"/>
          <w:divBdr>
            <w:top w:val="none" w:sz="0" w:space="0" w:color="auto"/>
            <w:left w:val="none" w:sz="0" w:space="0" w:color="auto"/>
            <w:bottom w:val="none" w:sz="0" w:space="0" w:color="auto"/>
            <w:right w:val="none" w:sz="0" w:space="0" w:color="auto"/>
          </w:divBdr>
          <w:divsChild>
            <w:div w:id="2043944109">
              <w:marLeft w:val="0"/>
              <w:marRight w:val="0"/>
              <w:marTop w:val="0"/>
              <w:marBottom w:val="0"/>
              <w:divBdr>
                <w:top w:val="none" w:sz="0" w:space="0" w:color="auto"/>
                <w:left w:val="none" w:sz="0" w:space="0" w:color="auto"/>
                <w:bottom w:val="none" w:sz="0" w:space="0" w:color="auto"/>
                <w:right w:val="none" w:sz="0" w:space="0" w:color="auto"/>
              </w:divBdr>
              <w:divsChild>
                <w:div w:id="195239338">
                  <w:marLeft w:val="0"/>
                  <w:marRight w:val="0"/>
                  <w:marTop w:val="0"/>
                  <w:marBottom w:val="0"/>
                  <w:divBdr>
                    <w:top w:val="none" w:sz="0" w:space="0" w:color="auto"/>
                    <w:left w:val="none" w:sz="0" w:space="0" w:color="auto"/>
                    <w:bottom w:val="none" w:sz="0" w:space="0" w:color="auto"/>
                    <w:right w:val="none" w:sz="0" w:space="0" w:color="auto"/>
                  </w:divBdr>
                </w:div>
                <w:div w:id="2014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5003">
          <w:marLeft w:val="0"/>
          <w:marRight w:val="0"/>
          <w:marTop w:val="0"/>
          <w:marBottom w:val="0"/>
          <w:divBdr>
            <w:top w:val="none" w:sz="0" w:space="0" w:color="auto"/>
            <w:left w:val="none" w:sz="0" w:space="0" w:color="auto"/>
            <w:bottom w:val="none" w:sz="0" w:space="0" w:color="auto"/>
            <w:right w:val="none" w:sz="0" w:space="0" w:color="auto"/>
          </w:divBdr>
          <w:divsChild>
            <w:div w:id="1486780676">
              <w:marLeft w:val="0"/>
              <w:marRight w:val="0"/>
              <w:marTop w:val="0"/>
              <w:marBottom w:val="0"/>
              <w:divBdr>
                <w:top w:val="none" w:sz="0" w:space="0" w:color="auto"/>
                <w:left w:val="none" w:sz="0" w:space="0" w:color="auto"/>
                <w:bottom w:val="none" w:sz="0" w:space="0" w:color="auto"/>
                <w:right w:val="none" w:sz="0" w:space="0" w:color="auto"/>
              </w:divBdr>
              <w:divsChild>
                <w:div w:id="2037581428">
                  <w:marLeft w:val="0"/>
                  <w:marRight w:val="0"/>
                  <w:marTop w:val="0"/>
                  <w:marBottom w:val="0"/>
                  <w:divBdr>
                    <w:top w:val="none" w:sz="0" w:space="0" w:color="auto"/>
                    <w:left w:val="none" w:sz="0" w:space="0" w:color="auto"/>
                    <w:bottom w:val="none" w:sz="0" w:space="0" w:color="auto"/>
                    <w:right w:val="none" w:sz="0" w:space="0" w:color="auto"/>
                  </w:divBdr>
                </w:div>
                <w:div w:id="5376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9556">
          <w:marLeft w:val="0"/>
          <w:marRight w:val="0"/>
          <w:marTop w:val="0"/>
          <w:marBottom w:val="0"/>
          <w:divBdr>
            <w:top w:val="none" w:sz="0" w:space="0" w:color="auto"/>
            <w:left w:val="none" w:sz="0" w:space="0" w:color="auto"/>
            <w:bottom w:val="none" w:sz="0" w:space="0" w:color="auto"/>
            <w:right w:val="none" w:sz="0" w:space="0" w:color="auto"/>
          </w:divBdr>
          <w:divsChild>
            <w:div w:id="1322927462">
              <w:marLeft w:val="0"/>
              <w:marRight w:val="0"/>
              <w:marTop w:val="0"/>
              <w:marBottom w:val="0"/>
              <w:divBdr>
                <w:top w:val="none" w:sz="0" w:space="0" w:color="auto"/>
                <w:left w:val="none" w:sz="0" w:space="0" w:color="auto"/>
                <w:bottom w:val="none" w:sz="0" w:space="0" w:color="auto"/>
                <w:right w:val="none" w:sz="0" w:space="0" w:color="auto"/>
              </w:divBdr>
              <w:divsChild>
                <w:div w:id="1698577657">
                  <w:marLeft w:val="0"/>
                  <w:marRight w:val="0"/>
                  <w:marTop w:val="0"/>
                  <w:marBottom w:val="0"/>
                  <w:divBdr>
                    <w:top w:val="none" w:sz="0" w:space="0" w:color="auto"/>
                    <w:left w:val="none" w:sz="0" w:space="0" w:color="auto"/>
                    <w:bottom w:val="none" w:sz="0" w:space="0" w:color="auto"/>
                    <w:right w:val="none" w:sz="0" w:space="0" w:color="auto"/>
                  </w:divBdr>
                </w:div>
                <w:div w:id="2790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45970">
          <w:marLeft w:val="0"/>
          <w:marRight w:val="0"/>
          <w:marTop w:val="0"/>
          <w:marBottom w:val="0"/>
          <w:divBdr>
            <w:top w:val="none" w:sz="0" w:space="0" w:color="auto"/>
            <w:left w:val="none" w:sz="0" w:space="0" w:color="auto"/>
            <w:bottom w:val="none" w:sz="0" w:space="0" w:color="auto"/>
            <w:right w:val="none" w:sz="0" w:space="0" w:color="auto"/>
          </w:divBdr>
          <w:divsChild>
            <w:div w:id="42289973">
              <w:marLeft w:val="0"/>
              <w:marRight w:val="0"/>
              <w:marTop w:val="0"/>
              <w:marBottom w:val="0"/>
              <w:divBdr>
                <w:top w:val="none" w:sz="0" w:space="0" w:color="auto"/>
                <w:left w:val="none" w:sz="0" w:space="0" w:color="auto"/>
                <w:bottom w:val="none" w:sz="0" w:space="0" w:color="auto"/>
                <w:right w:val="none" w:sz="0" w:space="0" w:color="auto"/>
              </w:divBdr>
              <w:divsChild>
                <w:div w:id="1122959861">
                  <w:marLeft w:val="0"/>
                  <w:marRight w:val="0"/>
                  <w:marTop w:val="0"/>
                  <w:marBottom w:val="0"/>
                  <w:divBdr>
                    <w:top w:val="none" w:sz="0" w:space="0" w:color="auto"/>
                    <w:left w:val="none" w:sz="0" w:space="0" w:color="auto"/>
                    <w:bottom w:val="none" w:sz="0" w:space="0" w:color="auto"/>
                    <w:right w:val="none" w:sz="0" w:space="0" w:color="auto"/>
                  </w:divBdr>
                </w:div>
                <w:div w:id="14706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5611">
          <w:marLeft w:val="0"/>
          <w:marRight w:val="0"/>
          <w:marTop w:val="0"/>
          <w:marBottom w:val="0"/>
          <w:divBdr>
            <w:top w:val="none" w:sz="0" w:space="0" w:color="auto"/>
            <w:left w:val="none" w:sz="0" w:space="0" w:color="auto"/>
            <w:bottom w:val="none" w:sz="0" w:space="0" w:color="auto"/>
            <w:right w:val="none" w:sz="0" w:space="0" w:color="auto"/>
          </w:divBdr>
          <w:divsChild>
            <w:div w:id="942418758">
              <w:marLeft w:val="0"/>
              <w:marRight w:val="0"/>
              <w:marTop w:val="0"/>
              <w:marBottom w:val="0"/>
              <w:divBdr>
                <w:top w:val="none" w:sz="0" w:space="0" w:color="auto"/>
                <w:left w:val="none" w:sz="0" w:space="0" w:color="auto"/>
                <w:bottom w:val="none" w:sz="0" w:space="0" w:color="auto"/>
                <w:right w:val="none" w:sz="0" w:space="0" w:color="auto"/>
              </w:divBdr>
              <w:divsChild>
                <w:div w:id="1588735175">
                  <w:marLeft w:val="0"/>
                  <w:marRight w:val="0"/>
                  <w:marTop w:val="0"/>
                  <w:marBottom w:val="0"/>
                  <w:divBdr>
                    <w:top w:val="none" w:sz="0" w:space="0" w:color="auto"/>
                    <w:left w:val="none" w:sz="0" w:space="0" w:color="auto"/>
                    <w:bottom w:val="none" w:sz="0" w:space="0" w:color="auto"/>
                    <w:right w:val="none" w:sz="0" w:space="0" w:color="auto"/>
                  </w:divBdr>
                </w:div>
                <w:div w:id="7059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79947">
          <w:marLeft w:val="0"/>
          <w:marRight w:val="0"/>
          <w:marTop w:val="0"/>
          <w:marBottom w:val="0"/>
          <w:divBdr>
            <w:top w:val="none" w:sz="0" w:space="0" w:color="auto"/>
            <w:left w:val="none" w:sz="0" w:space="0" w:color="auto"/>
            <w:bottom w:val="none" w:sz="0" w:space="0" w:color="auto"/>
            <w:right w:val="none" w:sz="0" w:space="0" w:color="auto"/>
          </w:divBdr>
          <w:divsChild>
            <w:div w:id="2041516972">
              <w:marLeft w:val="0"/>
              <w:marRight w:val="0"/>
              <w:marTop w:val="0"/>
              <w:marBottom w:val="0"/>
              <w:divBdr>
                <w:top w:val="none" w:sz="0" w:space="0" w:color="auto"/>
                <w:left w:val="none" w:sz="0" w:space="0" w:color="auto"/>
                <w:bottom w:val="none" w:sz="0" w:space="0" w:color="auto"/>
                <w:right w:val="none" w:sz="0" w:space="0" w:color="auto"/>
              </w:divBdr>
              <w:divsChild>
                <w:div w:id="449250316">
                  <w:marLeft w:val="0"/>
                  <w:marRight w:val="0"/>
                  <w:marTop w:val="0"/>
                  <w:marBottom w:val="0"/>
                  <w:divBdr>
                    <w:top w:val="none" w:sz="0" w:space="0" w:color="auto"/>
                    <w:left w:val="none" w:sz="0" w:space="0" w:color="auto"/>
                    <w:bottom w:val="none" w:sz="0" w:space="0" w:color="auto"/>
                    <w:right w:val="none" w:sz="0" w:space="0" w:color="auto"/>
                  </w:divBdr>
                </w:div>
                <w:div w:id="8996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906">
          <w:marLeft w:val="0"/>
          <w:marRight w:val="0"/>
          <w:marTop w:val="0"/>
          <w:marBottom w:val="0"/>
          <w:divBdr>
            <w:top w:val="none" w:sz="0" w:space="0" w:color="auto"/>
            <w:left w:val="none" w:sz="0" w:space="0" w:color="auto"/>
            <w:bottom w:val="none" w:sz="0" w:space="0" w:color="auto"/>
            <w:right w:val="none" w:sz="0" w:space="0" w:color="auto"/>
          </w:divBdr>
          <w:divsChild>
            <w:div w:id="1928882069">
              <w:marLeft w:val="0"/>
              <w:marRight w:val="0"/>
              <w:marTop w:val="0"/>
              <w:marBottom w:val="0"/>
              <w:divBdr>
                <w:top w:val="none" w:sz="0" w:space="0" w:color="auto"/>
                <w:left w:val="none" w:sz="0" w:space="0" w:color="auto"/>
                <w:bottom w:val="none" w:sz="0" w:space="0" w:color="auto"/>
                <w:right w:val="none" w:sz="0" w:space="0" w:color="auto"/>
              </w:divBdr>
              <w:divsChild>
                <w:div w:id="2134589365">
                  <w:marLeft w:val="0"/>
                  <w:marRight w:val="0"/>
                  <w:marTop w:val="0"/>
                  <w:marBottom w:val="0"/>
                  <w:divBdr>
                    <w:top w:val="none" w:sz="0" w:space="0" w:color="auto"/>
                    <w:left w:val="none" w:sz="0" w:space="0" w:color="auto"/>
                    <w:bottom w:val="none" w:sz="0" w:space="0" w:color="auto"/>
                    <w:right w:val="none" w:sz="0" w:space="0" w:color="auto"/>
                  </w:divBdr>
                </w:div>
                <w:div w:id="399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28133">
          <w:marLeft w:val="0"/>
          <w:marRight w:val="0"/>
          <w:marTop w:val="0"/>
          <w:marBottom w:val="0"/>
          <w:divBdr>
            <w:top w:val="none" w:sz="0" w:space="0" w:color="auto"/>
            <w:left w:val="none" w:sz="0" w:space="0" w:color="auto"/>
            <w:bottom w:val="none" w:sz="0" w:space="0" w:color="auto"/>
            <w:right w:val="none" w:sz="0" w:space="0" w:color="auto"/>
          </w:divBdr>
          <w:divsChild>
            <w:div w:id="2045058373">
              <w:marLeft w:val="0"/>
              <w:marRight w:val="0"/>
              <w:marTop w:val="0"/>
              <w:marBottom w:val="0"/>
              <w:divBdr>
                <w:top w:val="none" w:sz="0" w:space="0" w:color="auto"/>
                <w:left w:val="none" w:sz="0" w:space="0" w:color="auto"/>
                <w:bottom w:val="none" w:sz="0" w:space="0" w:color="auto"/>
                <w:right w:val="none" w:sz="0" w:space="0" w:color="auto"/>
              </w:divBdr>
              <w:divsChild>
                <w:div w:id="1888759050">
                  <w:marLeft w:val="0"/>
                  <w:marRight w:val="0"/>
                  <w:marTop w:val="0"/>
                  <w:marBottom w:val="0"/>
                  <w:divBdr>
                    <w:top w:val="none" w:sz="0" w:space="0" w:color="auto"/>
                    <w:left w:val="none" w:sz="0" w:space="0" w:color="auto"/>
                    <w:bottom w:val="none" w:sz="0" w:space="0" w:color="auto"/>
                    <w:right w:val="none" w:sz="0" w:space="0" w:color="auto"/>
                  </w:divBdr>
                </w:div>
                <w:div w:id="52108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5819">
          <w:marLeft w:val="0"/>
          <w:marRight w:val="0"/>
          <w:marTop w:val="0"/>
          <w:marBottom w:val="0"/>
          <w:divBdr>
            <w:top w:val="none" w:sz="0" w:space="0" w:color="auto"/>
            <w:left w:val="none" w:sz="0" w:space="0" w:color="auto"/>
            <w:bottom w:val="none" w:sz="0" w:space="0" w:color="auto"/>
            <w:right w:val="none" w:sz="0" w:space="0" w:color="auto"/>
          </w:divBdr>
          <w:divsChild>
            <w:div w:id="1022630058">
              <w:marLeft w:val="0"/>
              <w:marRight w:val="0"/>
              <w:marTop w:val="0"/>
              <w:marBottom w:val="0"/>
              <w:divBdr>
                <w:top w:val="none" w:sz="0" w:space="0" w:color="auto"/>
                <w:left w:val="none" w:sz="0" w:space="0" w:color="auto"/>
                <w:bottom w:val="none" w:sz="0" w:space="0" w:color="auto"/>
                <w:right w:val="none" w:sz="0" w:space="0" w:color="auto"/>
              </w:divBdr>
              <w:divsChild>
                <w:div w:id="1163622027">
                  <w:marLeft w:val="0"/>
                  <w:marRight w:val="0"/>
                  <w:marTop w:val="0"/>
                  <w:marBottom w:val="0"/>
                  <w:divBdr>
                    <w:top w:val="none" w:sz="0" w:space="0" w:color="auto"/>
                    <w:left w:val="none" w:sz="0" w:space="0" w:color="auto"/>
                    <w:bottom w:val="none" w:sz="0" w:space="0" w:color="auto"/>
                    <w:right w:val="none" w:sz="0" w:space="0" w:color="auto"/>
                  </w:divBdr>
                </w:div>
                <w:div w:id="15598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6738">
          <w:marLeft w:val="0"/>
          <w:marRight w:val="0"/>
          <w:marTop w:val="0"/>
          <w:marBottom w:val="0"/>
          <w:divBdr>
            <w:top w:val="none" w:sz="0" w:space="0" w:color="auto"/>
            <w:left w:val="none" w:sz="0" w:space="0" w:color="auto"/>
            <w:bottom w:val="none" w:sz="0" w:space="0" w:color="auto"/>
            <w:right w:val="none" w:sz="0" w:space="0" w:color="auto"/>
          </w:divBdr>
          <w:divsChild>
            <w:div w:id="1799182653">
              <w:marLeft w:val="0"/>
              <w:marRight w:val="0"/>
              <w:marTop w:val="0"/>
              <w:marBottom w:val="0"/>
              <w:divBdr>
                <w:top w:val="none" w:sz="0" w:space="0" w:color="auto"/>
                <w:left w:val="none" w:sz="0" w:space="0" w:color="auto"/>
                <w:bottom w:val="none" w:sz="0" w:space="0" w:color="auto"/>
                <w:right w:val="none" w:sz="0" w:space="0" w:color="auto"/>
              </w:divBdr>
              <w:divsChild>
                <w:div w:id="1369143561">
                  <w:marLeft w:val="0"/>
                  <w:marRight w:val="0"/>
                  <w:marTop w:val="0"/>
                  <w:marBottom w:val="0"/>
                  <w:divBdr>
                    <w:top w:val="none" w:sz="0" w:space="0" w:color="auto"/>
                    <w:left w:val="none" w:sz="0" w:space="0" w:color="auto"/>
                    <w:bottom w:val="none" w:sz="0" w:space="0" w:color="auto"/>
                    <w:right w:val="none" w:sz="0" w:space="0" w:color="auto"/>
                  </w:divBdr>
                </w:div>
                <w:div w:id="171168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10005">
          <w:marLeft w:val="0"/>
          <w:marRight w:val="0"/>
          <w:marTop w:val="0"/>
          <w:marBottom w:val="0"/>
          <w:divBdr>
            <w:top w:val="none" w:sz="0" w:space="0" w:color="auto"/>
            <w:left w:val="none" w:sz="0" w:space="0" w:color="auto"/>
            <w:bottom w:val="none" w:sz="0" w:space="0" w:color="auto"/>
            <w:right w:val="none" w:sz="0" w:space="0" w:color="auto"/>
          </w:divBdr>
          <w:divsChild>
            <w:div w:id="577207958">
              <w:marLeft w:val="0"/>
              <w:marRight w:val="0"/>
              <w:marTop w:val="0"/>
              <w:marBottom w:val="0"/>
              <w:divBdr>
                <w:top w:val="none" w:sz="0" w:space="0" w:color="auto"/>
                <w:left w:val="none" w:sz="0" w:space="0" w:color="auto"/>
                <w:bottom w:val="none" w:sz="0" w:space="0" w:color="auto"/>
                <w:right w:val="none" w:sz="0" w:space="0" w:color="auto"/>
              </w:divBdr>
              <w:divsChild>
                <w:div w:id="77869062">
                  <w:marLeft w:val="0"/>
                  <w:marRight w:val="0"/>
                  <w:marTop w:val="0"/>
                  <w:marBottom w:val="0"/>
                  <w:divBdr>
                    <w:top w:val="none" w:sz="0" w:space="0" w:color="auto"/>
                    <w:left w:val="none" w:sz="0" w:space="0" w:color="auto"/>
                    <w:bottom w:val="none" w:sz="0" w:space="0" w:color="auto"/>
                    <w:right w:val="none" w:sz="0" w:space="0" w:color="auto"/>
                  </w:divBdr>
                </w:div>
                <w:div w:id="124938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72116">
          <w:marLeft w:val="0"/>
          <w:marRight w:val="0"/>
          <w:marTop w:val="0"/>
          <w:marBottom w:val="0"/>
          <w:divBdr>
            <w:top w:val="none" w:sz="0" w:space="0" w:color="auto"/>
            <w:left w:val="none" w:sz="0" w:space="0" w:color="auto"/>
            <w:bottom w:val="none" w:sz="0" w:space="0" w:color="auto"/>
            <w:right w:val="none" w:sz="0" w:space="0" w:color="auto"/>
          </w:divBdr>
          <w:divsChild>
            <w:div w:id="1550150394">
              <w:marLeft w:val="0"/>
              <w:marRight w:val="0"/>
              <w:marTop w:val="0"/>
              <w:marBottom w:val="0"/>
              <w:divBdr>
                <w:top w:val="none" w:sz="0" w:space="0" w:color="auto"/>
                <w:left w:val="none" w:sz="0" w:space="0" w:color="auto"/>
                <w:bottom w:val="none" w:sz="0" w:space="0" w:color="auto"/>
                <w:right w:val="none" w:sz="0" w:space="0" w:color="auto"/>
              </w:divBdr>
              <w:divsChild>
                <w:div w:id="108360599">
                  <w:marLeft w:val="0"/>
                  <w:marRight w:val="0"/>
                  <w:marTop w:val="0"/>
                  <w:marBottom w:val="0"/>
                  <w:divBdr>
                    <w:top w:val="none" w:sz="0" w:space="0" w:color="auto"/>
                    <w:left w:val="none" w:sz="0" w:space="0" w:color="auto"/>
                    <w:bottom w:val="none" w:sz="0" w:space="0" w:color="auto"/>
                    <w:right w:val="none" w:sz="0" w:space="0" w:color="auto"/>
                  </w:divBdr>
                </w:div>
                <w:div w:id="6537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7917">
          <w:marLeft w:val="0"/>
          <w:marRight w:val="0"/>
          <w:marTop w:val="0"/>
          <w:marBottom w:val="0"/>
          <w:divBdr>
            <w:top w:val="none" w:sz="0" w:space="0" w:color="auto"/>
            <w:left w:val="none" w:sz="0" w:space="0" w:color="auto"/>
            <w:bottom w:val="none" w:sz="0" w:space="0" w:color="auto"/>
            <w:right w:val="none" w:sz="0" w:space="0" w:color="auto"/>
          </w:divBdr>
          <w:divsChild>
            <w:div w:id="395975715">
              <w:marLeft w:val="0"/>
              <w:marRight w:val="0"/>
              <w:marTop w:val="0"/>
              <w:marBottom w:val="0"/>
              <w:divBdr>
                <w:top w:val="none" w:sz="0" w:space="0" w:color="auto"/>
                <w:left w:val="none" w:sz="0" w:space="0" w:color="auto"/>
                <w:bottom w:val="none" w:sz="0" w:space="0" w:color="auto"/>
                <w:right w:val="none" w:sz="0" w:space="0" w:color="auto"/>
              </w:divBdr>
              <w:divsChild>
                <w:div w:id="367993484">
                  <w:marLeft w:val="0"/>
                  <w:marRight w:val="0"/>
                  <w:marTop w:val="0"/>
                  <w:marBottom w:val="0"/>
                  <w:divBdr>
                    <w:top w:val="none" w:sz="0" w:space="0" w:color="auto"/>
                    <w:left w:val="none" w:sz="0" w:space="0" w:color="auto"/>
                    <w:bottom w:val="none" w:sz="0" w:space="0" w:color="auto"/>
                    <w:right w:val="none" w:sz="0" w:space="0" w:color="auto"/>
                  </w:divBdr>
                </w:div>
                <w:div w:id="6527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4462">
          <w:marLeft w:val="0"/>
          <w:marRight w:val="0"/>
          <w:marTop w:val="0"/>
          <w:marBottom w:val="0"/>
          <w:divBdr>
            <w:top w:val="none" w:sz="0" w:space="0" w:color="auto"/>
            <w:left w:val="none" w:sz="0" w:space="0" w:color="auto"/>
            <w:bottom w:val="none" w:sz="0" w:space="0" w:color="auto"/>
            <w:right w:val="none" w:sz="0" w:space="0" w:color="auto"/>
          </w:divBdr>
          <w:divsChild>
            <w:div w:id="1048606309">
              <w:marLeft w:val="0"/>
              <w:marRight w:val="0"/>
              <w:marTop w:val="0"/>
              <w:marBottom w:val="0"/>
              <w:divBdr>
                <w:top w:val="none" w:sz="0" w:space="0" w:color="auto"/>
                <w:left w:val="none" w:sz="0" w:space="0" w:color="auto"/>
                <w:bottom w:val="none" w:sz="0" w:space="0" w:color="auto"/>
                <w:right w:val="none" w:sz="0" w:space="0" w:color="auto"/>
              </w:divBdr>
              <w:divsChild>
                <w:div w:id="1368723587">
                  <w:marLeft w:val="0"/>
                  <w:marRight w:val="0"/>
                  <w:marTop w:val="0"/>
                  <w:marBottom w:val="0"/>
                  <w:divBdr>
                    <w:top w:val="none" w:sz="0" w:space="0" w:color="auto"/>
                    <w:left w:val="none" w:sz="0" w:space="0" w:color="auto"/>
                    <w:bottom w:val="none" w:sz="0" w:space="0" w:color="auto"/>
                    <w:right w:val="none" w:sz="0" w:space="0" w:color="auto"/>
                  </w:divBdr>
                </w:div>
                <w:div w:id="92931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81370">
          <w:marLeft w:val="0"/>
          <w:marRight w:val="0"/>
          <w:marTop w:val="0"/>
          <w:marBottom w:val="0"/>
          <w:divBdr>
            <w:top w:val="none" w:sz="0" w:space="0" w:color="auto"/>
            <w:left w:val="none" w:sz="0" w:space="0" w:color="auto"/>
            <w:bottom w:val="none" w:sz="0" w:space="0" w:color="auto"/>
            <w:right w:val="none" w:sz="0" w:space="0" w:color="auto"/>
          </w:divBdr>
          <w:divsChild>
            <w:div w:id="341588680">
              <w:marLeft w:val="0"/>
              <w:marRight w:val="0"/>
              <w:marTop w:val="0"/>
              <w:marBottom w:val="0"/>
              <w:divBdr>
                <w:top w:val="none" w:sz="0" w:space="0" w:color="auto"/>
                <w:left w:val="none" w:sz="0" w:space="0" w:color="auto"/>
                <w:bottom w:val="none" w:sz="0" w:space="0" w:color="auto"/>
                <w:right w:val="none" w:sz="0" w:space="0" w:color="auto"/>
              </w:divBdr>
              <w:divsChild>
                <w:div w:id="829978815">
                  <w:marLeft w:val="0"/>
                  <w:marRight w:val="0"/>
                  <w:marTop w:val="0"/>
                  <w:marBottom w:val="0"/>
                  <w:divBdr>
                    <w:top w:val="none" w:sz="0" w:space="0" w:color="auto"/>
                    <w:left w:val="none" w:sz="0" w:space="0" w:color="auto"/>
                    <w:bottom w:val="none" w:sz="0" w:space="0" w:color="auto"/>
                    <w:right w:val="none" w:sz="0" w:space="0" w:color="auto"/>
                  </w:divBdr>
                </w:div>
                <w:div w:id="212757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9963">
          <w:marLeft w:val="0"/>
          <w:marRight w:val="0"/>
          <w:marTop w:val="0"/>
          <w:marBottom w:val="0"/>
          <w:divBdr>
            <w:top w:val="none" w:sz="0" w:space="0" w:color="auto"/>
            <w:left w:val="none" w:sz="0" w:space="0" w:color="auto"/>
            <w:bottom w:val="none" w:sz="0" w:space="0" w:color="auto"/>
            <w:right w:val="none" w:sz="0" w:space="0" w:color="auto"/>
          </w:divBdr>
          <w:divsChild>
            <w:div w:id="573586884">
              <w:marLeft w:val="0"/>
              <w:marRight w:val="0"/>
              <w:marTop w:val="0"/>
              <w:marBottom w:val="0"/>
              <w:divBdr>
                <w:top w:val="none" w:sz="0" w:space="0" w:color="auto"/>
                <w:left w:val="none" w:sz="0" w:space="0" w:color="auto"/>
                <w:bottom w:val="none" w:sz="0" w:space="0" w:color="auto"/>
                <w:right w:val="none" w:sz="0" w:space="0" w:color="auto"/>
              </w:divBdr>
              <w:divsChild>
                <w:div w:id="1129978225">
                  <w:marLeft w:val="0"/>
                  <w:marRight w:val="0"/>
                  <w:marTop w:val="0"/>
                  <w:marBottom w:val="0"/>
                  <w:divBdr>
                    <w:top w:val="none" w:sz="0" w:space="0" w:color="auto"/>
                    <w:left w:val="none" w:sz="0" w:space="0" w:color="auto"/>
                    <w:bottom w:val="none" w:sz="0" w:space="0" w:color="auto"/>
                    <w:right w:val="none" w:sz="0" w:space="0" w:color="auto"/>
                  </w:divBdr>
                </w:div>
                <w:div w:id="99414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7190">
          <w:marLeft w:val="0"/>
          <w:marRight w:val="0"/>
          <w:marTop w:val="0"/>
          <w:marBottom w:val="0"/>
          <w:divBdr>
            <w:top w:val="none" w:sz="0" w:space="0" w:color="auto"/>
            <w:left w:val="none" w:sz="0" w:space="0" w:color="auto"/>
            <w:bottom w:val="none" w:sz="0" w:space="0" w:color="auto"/>
            <w:right w:val="none" w:sz="0" w:space="0" w:color="auto"/>
          </w:divBdr>
          <w:divsChild>
            <w:div w:id="1794862878">
              <w:marLeft w:val="0"/>
              <w:marRight w:val="0"/>
              <w:marTop w:val="0"/>
              <w:marBottom w:val="0"/>
              <w:divBdr>
                <w:top w:val="none" w:sz="0" w:space="0" w:color="auto"/>
                <w:left w:val="none" w:sz="0" w:space="0" w:color="auto"/>
                <w:bottom w:val="none" w:sz="0" w:space="0" w:color="auto"/>
                <w:right w:val="none" w:sz="0" w:space="0" w:color="auto"/>
              </w:divBdr>
              <w:divsChild>
                <w:div w:id="2055346816">
                  <w:marLeft w:val="0"/>
                  <w:marRight w:val="0"/>
                  <w:marTop w:val="0"/>
                  <w:marBottom w:val="0"/>
                  <w:divBdr>
                    <w:top w:val="none" w:sz="0" w:space="0" w:color="auto"/>
                    <w:left w:val="none" w:sz="0" w:space="0" w:color="auto"/>
                    <w:bottom w:val="none" w:sz="0" w:space="0" w:color="auto"/>
                    <w:right w:val="none" w:sz="0" w:space="0" w:color="auto"/>
                  </w:divBdr>
                </w:div>
                <w:div w:id="4428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2452">
          <w:marLeft w:val="0"/>
          <w:marRight w:val="0"/>
          <w:marTop w:val="0"/>
          <w:marBottom w:val="0"/>
          <w:divBdr>
            <w:top w:val="none" w:sz="0" w:space="0" w:color="auto"/>
            <w:left w:val="none" w:sz="0" w:space="0" w:color="auto"/>
            <w:bottom w:val="none" w:sz="0" w:space="0" w:color="auto"/>
            <w:right w:val="none" w:sz="0" w:space="0" w:color="auto"/>
          </w:divBdr>
          <w:divsChild>
            <w:div w:id="36005868">
              <w:marLeft w:val="0"/>
              <w:marRight w:val="0"/>
              <w:marTop w:val="0"/>
              <w:marBottom w:val="0"/>
              <w:divBdr>
                <w:top w:val="none" w:sz="0" w:space="0" w:color="auto"/>
                <w:left w:val="none" w:sz="0" w:space="0" w:color="auto"/>
                <w:bottom w:val="none" w:sz="0" w:space="0" w:color="auto"/>
                <w:right w:val="none" w:sz="0" w:space="0" w:color="auto"/>
              </w:divBdr>
              <w:divsChild>
                <w:div w:id="1852839388">
                  <w:marLeft w:val="0"/>
                  <w:marRight w:val="0"/>
                  <w:marTop w:val="0"/>
                  <w:marBottom w:val="0"/>
                  <w:divBdr>
                    <w:top w:val="none" w:sz="0" w:space="0" w:color="auto"/>
                    <w:left w:val="none" w:sz="0" w:space="0" w:color="auto"/>
                    <w:bottom w:val="none" w:sz="0" w:space="0" w:color="auto"/>
                    <w:right w:val="none" w:sz="0" w:space="0" w:color="auto"/>
                  </w:divBdr>
                </w:div>
                <w:div w:id="18260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8411">
          <w:marLeft w:val="0"/>
          <w:marRight w:val="0"/>
          <w:marTop w:val="0"/>
          <w:marBottom w:val="0"/>
          <w:divBdr>
            <w:top w:val="none" w:sz="0" w:space="0" w:color="auto"/>
            <w:left w:val="none" w:sz="0" w:space="0" w:color="auto"/>
            <w:bottom w:val="none" w:sz="0" w:space="0" w:color="auto"/>
            <w:right w:val="none" w:sz="0" w:space="0" w:color="auto"/>
          </w:divBdr>
          <w:divsChild>
            <w:div w:id="573856358">
              <w:marLeft w:val="0"/>
              <w:marRight w:val="0"/>
              <w:marTop w:val="0"/>
              <w:marBottom w:val="0"/>
              <w:divBdr>
                <w:top w:val="none" w:sz="0" w:space="0" w:color="auto"/>
                <w:left w:val="none" w:sz="0" w:space="0" w:color="auto"/>
                <w:bottom w:val="none" w:sz="0" w:space="0" w:color="auto"/>
                <w:right w:val="none" w:sz="0" w:space="0" w:color="auto"/>
              </w:divBdr>
              <w:divsChild>
                <w:div w:id="767311252">
                  <w:marLeft w:val="0"/>
                  <w:marRight w:val="0"/>
                  <w:marTop w:val="0"/>
                  <w:marBottom w:val="0"/>
                  <w:divBdr>
                    <w:top w:val="none" w:sz="0" w:space="0" w:color="auto"/>
                    <w:left w:val="none" w:sz="0" w:space="0" w:color="auto"/>
                    <w:bottom w:val="none" w:sz="0" w:space="0" w:color="auto"/>
                    <w:right w:val="none" w:sz="0" w:space="0" w:color="auto"/>
                  </w:divBdr>
                </w:div>
                <w:div w:id="13914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2679">
          <w:marLeft w:val="0"/>
          <w:marRight w:val="0"/>
          <w:marTop w:val="0"/>
          <w:marBottom w:val="0"/>
          <w:divBdr>
            <w:top w:val="none" w:sz="0" w:space="0" w:color="auto"/>
            <w:left w:val="none" w:sz="0" w:space="0" w:color="auto"/>
            <w:bottom w:val="none" w:sz="0" w:space="0" w:color="auto"/>
            <w:right w:val="none" w:sz="0" w:space="0" w:color="auto"/>
          </w:divBdr>
          <w:divsChild>
            <w:div w:id="585576545">
              <w:marLeft w:val="0"/>
              <w:marRight w:val="0"/>
              <w:marTop w:val="0"/>
              <w:marBottom w:val="0"/>
              <w:divBdr>
                <w:top w:val="none" w:sz="0" w:space="0" w:color="auto"/>
                <w:left w:val="none" w:sz="0" w:space="0" w:color="auto"/>
                <w:bottom w:val="none" w:sz="0" w:space="0" w:color="auto"/>
                <w:right w:val="none" w:sz="0" w:space="0" w:color="auto"/>
              </w:divBdr>
              <w:divsChild>
                <w:div w:id="1512531301">
                  <w:marLeft w:val="0"/>
                  <w:marRight w:val="0"/>
                  <w:marTop w:val="0"/>
                  <w:marBottom w:val="0"/>
                  <w:divBdr>
                    <w:top w:val="none" w:sz="0" w:space="0" w:color="auto"/>
                    <w:left w:val="none" w:sz="0" w:space="0" w:color="auto"/>
                    <w:bottom w:val="none" w:sz="0" w:space="0" w:color="auto"/>
                    <w:right w:val="none" w:sz="0" w:space="0" w:color="auto"/>
                  </w:divBdr>
                </w:div>
                <w:div w:id="18154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6263">
          <w:marLeft w:val="0"/>
          <w:marRight w:val="0"/>
          <w:marTop w:val="0"/>
          <w:marBottom w:val="0"/>
          <w:divBdr>
            <w:top w:val="none" w:sz="0" w:space="0" w:color="auto"/>
            <w:left w:val="none" w:sz="0" w:space="0" w:color="auto"/>
            <w:bottom w:val="none" w:sz="0" w:space="0" w:color="auto"/>
            <w:right w:val="none" w:sz="0" w:space="0" w:color="auto"/>
          </w:divBdr>
          <w:divsChild>
            <w:div w:id="512646379">
              <w:marLeft w:val="0"/>
              <w:marRight w:val="0"/>
              <w:marTop w:val="0"/>
              <w:marBottom w:val="0"/>
              <w:divBdr>
                <w:top w:val="none" w:sz="0" w:space="0" w:color="auto"/>
                <w:left w:val="none" w:sz="0" w:space="0" w:color="auto"/>
                <w:bottom w:val="none" w:sz="0" w:space="0" w:color="auto"/>
                <w:right w:val="none" w:sz="0" w:space="0" w:color="auto"/>
              </w:divBdr>
              <w:divsChild>
                <w:div w:id="184290746">
                  <w:marLeft w:val="0"/>
                  <w:marRight w:val="0"/>
                  <w:marTop w:val="0"/>
                  <w:marBottom w:val="0"/>
                  <w:divBdr>
                    <w:top w:val="none" w:sz="0" w:space="0" w:color="auto"/>
                    <w:left w:val="none" w:sz="0" w:space="0" w:color="auto"/>
                    <w:bottom w:val="none" w:sz="0" w:space="0" w:color="auto"/>
                    <w:right w:val="none" w:sz="0" w:space="0" w:color="auto"/>
                  </w:divBdr>
                </w:div>
                <w:div w:id="14911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7604">
          <w:marLeft w:val="0"/>
          <w:marRight w:val="0"/>
          <w:marTop w:val="0"/>
          <w:marBottom w:val="0"/>
          <w:divBdr>
            <w:top w:val="none" w:sz="0" w:space="0" w:color="auto"/>
            <w:left w:val="none" w:sz="0" w:space="0" w:color="auto"/>
            <w:bottom w:val="none" w:sz="0" w:space="0" w:color="auto"/>
            <w:right w:val="none" w:sz="0" w:space="0" w:color="auto"/>
          </w:divBdr>
          <w:divsChild>
            <w:div w:id="352533424">
              <w:marLeft w:val="0"/>
              <w:marRight w:val="0"/>
              <w:marTop w:val="0"/>
              <w:marBottom w:val="0"/>
              <w:divBdr>
                <w:top w:val="none" w:sz="0" w:space="0" w:color="auto"/>
                <w:left w:val="none" w:sz="0" w:space="0" w:color="auto"/>
                <w:bottom w:val="none" w:sz="0" w:space="0" w:color="auto"/>
                <w:right w:val="none" w:sz="0" w:space="0" w:color="auto"/>
              </w:divBdr>
              <w:divsChild>
                <w:div w:id="1023017365">
                  <w:marLeft w:val="0"/>
                  <w:marRight w:val="0"/>
                  <w:marTop w:val="0"/>
                  <w:marBottom w:val="0"/>
                  <w:divBdr>
                    <w:top w:val="none" w:sz="0" w:space="0" w:color="auto"/>
                    <w:left w:val="none" w:sz="0" w:space="0" w:color="auto"/>
                    <w:bottom w:val="none" w:sz="0" w:space="0" w:color="auto"/>
                    <w:right w:val="none" w:sz="0" w:space="0" w:color="auto"/>
                  </w:divBdr>
                </w:div>
                <w:div w:id="155766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6830">
          <w:marLeft w:val="0"/>
          <w:marRight w:val="0"/>
          <w:marTop w:val="0"/>
          <w:marBottom w:val="0"/>
          <w:divBdr>
            <w:top w:val="none" w:sz="0" w:space="0" w:color="auto"/>
            <w:left w:val="none" w:sz="0" w:space="0" w:color="auto"/>
            <w:bottom w:val="none" w:sz="0" w:space="0" w:color="auto"/>
            <w:right w:val="none" w:sz="0" w:space="0" w:color="auto"/>
          </w:divBdr>
          <w:divsChild>
            <w:div w:id="704209257">
              <w:marLeft w:val="0"/>
              <w:marRight w:val="0"/>
              <w:marTop w:val="0"/>
              <w:marBottom w:val="0"/>
              <w:divBdr>
                <w:top w:val="none" w:sz="0" w:space="0" w:color="auto"/>
                <w:left w:val="none" w:sz="0" w:space="0" w:color="auto"/>
                <w:bottom w:val="none" w:sz="0" w:space="0" w:color="auto"/>
                <w:right w:val="none" w:sz="0" w:space="0" w:color="auto"/>
              </w:divBdr>
              <w:divsChild>
                <w:div w:id="1846899433">
                  <w:marLeft w:val="0"/>
                  <w:marRight w:val="0"/>
                  <w:marTop w:val="0"/>
                  <w:marBottom w:val="0"/>
                  <w:divBdr>
                    <w:top w:val="none" w:sz="0" w:space="0" w:color="auto"/>
                    <w:left w:val="none" w:sz="0" w:space="0" w:color="auto"/>
                    <w:bottom w:val="none" w:sz="0" w:space="0" w:color="auto"/>
                    <w:right w:val="none" w:sz="0" w:space="0" w:color="auto"/>
                  </w:divBdr>
                </w:div>
                <w:div w:id="20348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9590">
          <w:marLeft w:val="0"/>
          <w:marRight w:val="0"/>
          <w:marTop w:val="0"/>
          <w:marBottom w:val="0"/>
          <w:divBdr>
            <w:top w:val="none" w:sz="0" w:space="0" w:color="auto"/>
            <w:left w:val="none" w:sz="0" w:space="0" w:color="auto"/>
            <w:bottom w:val="none" w:sz="0" w:space="0" w:color="auto"/>
            <w:right w:val="none" w:sz="0" w:space="0" w:color="auto"/>
          </w:divBdr>
          <w:divsChild>
            <w:div w:id="298463886">
              <w:marLeft w:val="0"/>
              <w:marRight w:val="0"/>
              <w:marTop w:val="0"/>
              <w:marBottom w:val="0"/>
              <w:divBdr>
                <w:top w:val="none" w:sz="0" w:space="0" w:color="auto"/>
                <w:left w:val="none" w:sz="0" w:space="0" w:color="auto"/>
                <w:bottom w:val="none" w:sz="0" w:space="0" w:color="auto"/>
                <w:right w:val="none" w:sz="0" w:space="0" w:color="auto"/>
              </w:divBdr>
              <w:divsChild>
                <w:div w:id="2032141035">
                  <w:marLeft w:val="0"/>
                  <w:marRight w:val="0"/>
                  <w:marTop w:val="0"/>
                  <w:marBottom w:val="0"/>
                  <w:divBdr>
                    <w:top w:val="none" w:sz="0" w:space="0" w:color="auto"/>
                    <w:left w:val="none" w:sz="0" w:space="0" w:color="auto"/>
                    <w:bottom w:val="none" w:sz="0" w:space="0" w:color="auto"/>
                    <w:right w:val="none" w:sz="0" w:space="0" w:color="auto"/>
                  </w:divBdr>
                </w:div>
                <w:div w:id="5579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24294">
          <w:marLeft w:val="0"/>
          <w:marRight w:val="0"/>
          <w:marTop w:val="0"/>
          <w:marBottom w:val="0"/>
          <w:divBdr>
            <w:top w:val="none" w:sz="0" w:space="0" w:color="auto"/>
            <w:left w:val="none" w:sz="0" w:space="0" w:color="auto"/>
            <w:bottom w:val="none" w:sz="0" w:space="0" w:color="auto"/>
            <w:right w:val="none" w:sz="0" w:space="0" w:color="auto"/>
          </w:divBdr>
          <w:divsChild>
            <w:div w:id="1145851727">
              <w:marLeft w:val="0"/>
              <w:marRight w:val="0"/>
              <w:marTop w:val="0"/>
              <w:marBottom w:val="0"/>
              <w:divBdr>
                <w:top w:val="none" w:sz="0" w:space="0" w:color="auto"/>
                <w:left w:val="none" w:sz="0" w:space="0" w:color="auto"/>
                <w:bottom w:val="none" w:sz="0" w:space="0" w:color="auto"/>
                <w:right w:val="none" w:sz="0" w:space="0" w:color="auto"/>
              </w:divBdr>
              <w:divsChild>
                <w:div w:id="1170414844">
                  <w:marLeft w:val="0"/>
                  <w:marRight w:val="0"/>
                  <w:marTop w:val="0"/>
                  <w:marBottom w:val="0"/>
                  <w:divBdr>
                    <w:top w:val="none" w:sz="0" w:space="0" w:color="auto"/>
                    <w:left w:val="none" w:sz="0" w:space="0" w:color="auto"/>
                    <w:bottom w:val="none" w:sz="0" w:space="0" w:color="auto"/>
                    <w:right w:val="none" w:sz="0" w:space="0" w:color="auto"/>
                  </w:divBdr>
                </w:div>
                <w:div w:id="11033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30591">
          <w:marLeft w:val="0"/>
          <w:marRight w:val="0"/>
          <w:marTop w:val="0"/>
          <w:marBottom w:val="0"/>
          <w:divBdr>
            <w:top w:val="none" w:sz="0" w:space="0" w:color="auto"/>
            <w:left w:val="none" w:sz="0" w:space="0" w:color="auto"/>
            <w:bottom w:val="none" w:sz="0" w:space="0" w:color="auto"/>
            <w:right w:val="none" w:sz="0" w:space="0" w:color="auto"/>
          </w:divBdr>
          <w:divsChild>
            <w:div w:id="158008860">
              <w:marLeft w:val="0"/>
              <w:marRight w:val="0"/>
              <w:marTop w:val="0"/>
              <w:marBottom w:val="0"/>
              <w:divBdr>
                <w:top w:val="none" w:sz="0" w:space="0" w:color="auto"/>
                <w:left w:val="none" w:sz="0" w:space="0" w:color="auto"/>
                <w:bottom w:val="none" w:sz="0" w:space="0" w:color="auto"/>
                <w:right w:val="none" w:sz="0" w:space="0" w:color="auto"/>
              </w:divBdr>
              <w:divsChild>
                <w:div w:id="621805836">
                  <w:marLeft w:val="0"/>
                  <w:marRight w:val="0"/>
                  <w:marTop w:val="0"/>
                  <w:marBottom w:val="0"/>
                  <w:divBdr>
                    <w:top w:val="none" w:sz="0" w:space="0" w:color="auto"/>
                    <w:left w:val="none" w:sz="0" w:space="0" w:color="auto"/>
                    <w:bottom w:val="none" w:sz="0" w:space="0" w:color="auto"/>
                    <w:right w:val="none" w:sz="0" w:space="0" w:color="auto"/>
                  </w:divBdr>
                </w:div>
                <w:div w:id="14563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57226">
      <w:bodyDiv w:val="1"/>
      <w:marLeft w:val="0"/>
      <w:marRight w:val="0"/>
      <w:marTop w:val="0"/>
      <w:marBottom w:val="0"/>
      <w:divBdr>
        <w:top w:val="none" w:sz="0" w:space="0" w:color="auto"/>
        <w:left w:val="none" w:sz="0" w:space="0" w:color="auto"/>
        <w:bottom w:val="none" w:sz="0" w:space="0" w:color="auto"/>
        <w:right w:val="none" w:sz="0" w:space="0" w:color="auto"/>
      </w:divBdr>
    </w:div>
    <w:div w:id="383263067">
      <w:bodyDiv w:val="1"/>
      <w:marLeft w:val="0"/>
      <w:marRight w:val="0"/>
      <w:marTop w:val="0"/>
      <w:marBottom w:val="0"/>
      <w:divBdr>
        <w:top w:val="none" w:sz="0" w:space="0" w:color="auto"/>
        <w:left w:val="none" w:sz="0" w:space="0" w:color="auto"/>
        <w:bottom w:val="none" w:sz="0" w:space="0" w:color="auto"/>
        <w:right w:val="none" w:sz="0" w:space="0" w:color="auto"/>
      </w:divBdr>
    </w:div>
    <w:div w:id="674848204">
      <w:bodyDiv w:val="1"/>
      <w:marLeft w:val="0"/>
      <w:marRight w:val="0"/>
      <w:marTop w:val="0"/>
      <w:marBottom w:val="0"/>
      <w:divBdr>
        <w:top w:val="none" w:sz="0" w:space="0" w:color="auto"/>
        <w:left w:val="none" w:sz="0" w:space="0" w:color="auto"/>
        <w:bottom w:val="none" w:sz="0" w:space="0" w:color="auto"/>
        <w:right w:val="none" w:sz="0" w:space="0" w:color="auto"/>
      </w:divBdr>
    </w:div>
    <w:div w:id="745953594">
      <w:bodyDiv w:val="1"/>
      <w:marLeft w:val="0"/>
      <w:marRight w:val="0"/>
      <w:marTop w:val="0"/>
      <w:marBottom w:val="0"/>
      <w:divBdr>
        <w:top w:val="none" w:sz="0" w:space="0" w:color="auto"/>
        <w:left w:val="none" w:sz="0" w:space="0" w:color="auto"/>
        <w:bottom w:val="none" w:sz="0" w:space="0" w:color="auto"/>
        <w:right w:val="none" w:sz="0" w:space="0" w:color="auto"/>
      </w:divBdr>
    </w:div>
    <w:div w:id="80570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calogy.com/2025/10/cost-sensitive-churn-happy-profiling-todays-smb/" TargetMode="External"/><Relationship Id="rId13" Type="http://schemas.openxmlformats.org/officeDocument/2006/relationships/hyperlink" Target="https://www.procompare.co.za/articles/web-design/the-real-cost-of-an-e-commerce-website-in-sa" TargetMode="External"/><Relationship Id="rId18" Type="http://schemas.openxmlformats.org/officeDocument/2006/relationships/hyperlink" Target="https://www.kalungi.com/blog/saas-pricing-guide" TargetMode="External"/><Relationship Id="rId26" Type="http://schemas.openxmlformats.org/officeDocument/2006/relationships/hyperlink" Target="https://aventigroup.com/blog/b2b-saas-pricing-strategies-how-to-build-a-model-that-drives-growth/" TargetMode="External"/><Relationship Id="rId3" Type="http://schemas.microsoft.com/office/2007/relationships/stylesWithEffects" Target="stylesWithEffects.xml"/><Relationship Id="rId21" Type="http://schemas.openxmlformats.org/officeDocument/2006/relationships/hyperlink" Target="https://hostafrica.co.za/blog/site-builder/how-to-start-an-ecommerce-business-in-south-africa/" TargetMode="External"/><Relationship Id="rId34" Type="http://schemas.openxmlformats.org/officeDocument/2006/relationships/hyperlink" Target="https://www.nauticalcommerce.com/glossary/take-rate" TargetMode="External"/><Relationship Id="rId7" Type="http://schemas.openxmlformats.org/officeDocument/2006/relationships/hyperlink" Target="https://klickflow.io/saas-conversion-rate-benchmarks-2025-industry-data/" TargetMode="External"/><Relationship Id="rId12" Type="http://schemas.openxmlformats.org/officeDocument/2006/relationships/hyperlink" Target="https://www.netsuite.com/portal/resource/articles/erp/saas-metrics.shtml" TargetMode="External"/><Relationship Id="rId17" Type="http://schemas.openxmlformats.org/officeDocument/2006/relationships/hyperlink" Target="https://userpilot.medium.com/how-to-build-an-effective-free-to-paid-conversion-strategy-3261c07456d5" TargetMode="External"/><Relationship Id="rId25" Type="http://schemas.openxmlformats.org/officeDocument/2006/relationships/hyperlink" Target="https://www.sparklayer.io/pricing/" TargetMode="External"/><Relationship Id="rId33" Type="http://schemas.openxmlformats.org/officeDocument/2006/relationships/hyperlink" Target="https://wpexperts.io/blog/average-sales-commission-rate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unbounce.com/conversion-rate-optimization/b2b-conversion-rates/" TargetMode="External"/><Relationship Id="rId20" Type="http://schemas.openxmlformats.org/officeDocument/2006/relationships/hyperlink" Target="https://www.crazyegg.com/blog/free-to-paid-conversion-rate/" TargetMode="External"/><Relationship Id="rId29" Type="http://schemas.openxmlformats.org/officeDocument/2006/relationships/hyperlink" Target="https://www.zendesk.com/blog/customer-service-and-lifetime-customer-value/" TargetMode="External"/><Relationship Id="rId1" Type="http://schemas.openxmlformats.org/officeDocument/2006/relationships/numbering" Target="numbering.xml"/><Relationship Id="rId6" Type="http://schemas.openxmlformats.org/officeDocument/2006/relationships/hyperlink" Target="https://kinde.com/learn/billing/conversions/beyond-the-trial-converting-freemium-users-into-paying-subscribers/" TargetMode="External"/><Relationship Id="rId11" Type="http://schemas.openxmlformats.org/officeDocument/2006/relationships/hyperlink" Target="https://stripe.com/resources/more/essential-saas-metrics" TargetMode="External"/><Relationship Id="rId24" Type="http://schemas.openxmlformats.org/officeDocument/2006/relationships/hyperlink" Target="https://www.cobbleweb.co.uk/revenue-streams-for-marketplace-business-model/" TargetMode="External"/><Relationship Id="rId32" Type="http://schemas.openxmlformats.org/officeDocument/2006/relationships/hyperlink" Target="https://www.growthmentor.com/glossary/take-rat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genielab.com/blogs/articles/leveraging-premium-pricing-strategy-for-business-growth" TargetMode="External"/><Relationship Id="rId23" Type="http://schemas.openxmlformats.org/officeDocument/2006/relationships/hyperlink" Target="https://www.useparagon.com/blog/reducing-churn-the-8-step-b2b-saas-playbook" TargetMode="External"/><Relationship Id="rId28" Type="http://schemas.openxmlformats.org/officeDocument/2006/relationships/hyperlink" Target="https://customergauge.com/blog/average-customer-lifetime-value-by-industry" TargetMode="External"/><Relationship Id="rId36" Type="http://schemas.openxmlformats.org/officeDocument/2006/relationships/hyperlink" Target="https://www.salesforce.com/blog/usage-based-pricing/" TargetMode="External"/><Relationship Id="rId10" Type="http://schemas.openxmlformats.org/officeDocument/2006/relationships/hyperlink" Target="https://spp.co/blog/premium-pricing-strategy/" TargetMode="External"/><Relationship Id="rId19" Type="http://schemas.openxmlformats.org/officeDocument/2006/relationships/hyperlink" Target="https://firstpagesage.com/seo-blog/saas-free-trial-conversion-rate-benchmarks/" TargetMode="External"/><Relationship Id="rId31" Type="http://schemas.openxmlformats.org/officeDocument/2006/relationships/hyperlink" Target="https://www.moderntreasury.com/learn/what-is-take-rate" TargetMode="External"/><Relationship Id="rId4" Type="http://schemas.openxmlformats.org/officeDocument/2006/relationships/settings" Target="settings.xml"/><Relationship Id="rId9" Type="http://schemas.openxmlformats.org/officeDocument/2006/relationships/hyperlink" Target="https://alterflow.ai/ai-analytics-smbs-simple-insights-that-drive-roi/" TargetMode="External"/><Relationship Id="rId14" Type="http://schemas.openxmlformats.org/officeDocument/2006/relationships/hyperlink" Target="https://netcash.co.za/blog/top-5-shopify-alternatives-in-south-africa-in-depth-comparisons/" TargetMode="External"/><Relationship Id="rId22" Type="http://schemas.openxmlformats.org/officeDocument/2006/relationships/hyperlink" Target="https://dialzara.com/blog/measuring-roi-of-ai-in-smb-growth" TargetMode="External"/><Relationship Id="rId27" Type="http://schemas.openxmlformats.org/officeDocument/2006/relationships/hyperlink" Target="https://arminkakas.medium.com/maximizing-value-creation-with-saas-pricing-optimization-d20e8b9978db" TargetMode="External"/><Relationship Id="rId30" Type="http://schemas.openxmlformats.org/officeDocument/2006/relationships/hyperlink" Target="https://flxpoint.com/blog/commission-models-for-multi-vendor-marketplaces" TargetMode="External"/><Relationship Id="rId35" Type="http://schemas.openxmlformats.org/officeDocument/2006/relationships/hyperlink" Target="https://www.trykitchenhub.com/post/what-marketplaces-arent-telling-you-how-commission-models-are-quietly-chan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4935</Words>
  <Characters>28136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Siya</dc:creator>
  <cp:lastModifiedBy>Siya</cp:lastModifiedBy>
  <cp:revision>2</cp:revision>
  <dcterms:created xsi:type="dcterms:W3CDTF">2025-11-28T16:49:00Z</dcterms:created>
  <dcterms:modified xsi:type="dcterms:W3CDTF">2025-11-28T16:49:00Z</dcterms:modified>
</cp:coreProperties>
</file>