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ReachHub Revenue Scaling Projections &amp; Financial Milestones</w:t>
      </w:r>
    </w:p>
    <w:p>
      <w:r>
        <w:t>The ReachHub financial strategy defines revenue success across three distinct phases, transitioning from high-margin stability (MVP) to significant market scale (Phase 2 &amp; 3).</w:t>
      </w:r>
    </w:p>
    <w:p>
      <w:r>
        <w:t>The projections below use the target Average Revenue Per User (ARPU) of R300 per month (</w:t>
      </w:r>
      <w:r>
        <w:rPr>
          <w:b/>
        </w:rPr>
        <w:t>R3,600 per vendor annually</w:t>
      </w:r>
      <w:r>
        <w:t>) established in the core revenue documents.</w:t>
      </w:r>
    </w:p>
    <w:p>
      <w:pPr>
        <w:pStyle w:val="Heading1"/>
      </w:pPr>
      <w:r>
        <w:t>Phase 1: High-Margin Stabilization (MVP Success)</w:t>
      </w:r>
    </w:p>
    <w:p>
      <w:r>
        <w:t>This phase focuses on proving the Product-Led Growth (PLG) model works by successfully converting free users (R0) into paid subscribers (R199/R499) and maintaining the target 90%+ Gross Margin.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Vendor 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Annual Recurring Revenue (ARR)</w:t>
            </w:r>
          </w:p>
        </w:tc>
      </w:tr>
      <w:tr>
        <w:tc>
          <w:tcPr>
            <w:tcW w:type="dxa" w:w="2880"/>
          </w:tcPr>
          <w:p>
            <w:r>
              <w:t>P1.1 Initial Proof</w:t>
            </w:r>
          </w:p>
        </w:tc>
        <w:tc>
          <w:tcPr>
            <w:tcW w:type="dxa" w:w="2880"/>
          </w:tcPr>
          <w:p>
            <w:r>
              <w:t>50 Paying Vendors</w:t>
            </w:r>
          </w:p>
        </w:tc>
        <w:tc>
          <w:tcPr>
            <w:tcW w:type="dxa" w:w="2880"/>
          </w:tcPr>
          <w:p>
            <w:r>
              <w:t>R180,000</w:t>
            </w:r>
          </w:p>
        </w:tc>
      </w:tr>
      <w:tr>
        <w:tc>
          <w:tcPr>
            <w:tcW w:type="dxa" w:w="2880"/>
          </w:tcPr>
          <w:p>
            <w:r>
              <w:t>P1.2 Core Stability</w:t>
            </w:r>
          </w:p>
        </w:tc>
        <w:tc>
          <w:tcPr>
            <w:tcW w:type="dxa" w:w="2880"/>
          </w:tcPr>
          <w:p>
            <w:r>
              <w:t>100 Paying Vendors</w:t>
            </w:r>
          </w:p>
        </w:tc>
        <w:tc>
          <w:tcPr>
            <w:tcW w:type="dxa" w:w="2880"/>
          </w:tcPr>
          <w:p>
            <w:r>
              <w:t>R360,000</w:t>
            </w:r>
          </w:p>
        </w:tc>
      </w:tr>
      <w:tr>
        <w:tc>
          <w:tcPr>
            <w:tcW w:type="dxa" w:w="2880"/>
          </w:tcPr>
          <w:p>
            <w:r>
              <w:t>P1.3 Regional Dominance</w:t>
            </w:r>
          </w:p>
        </w:tc>
        <w:tc>
          <w:tcPr>
            <w:tcW w:type="dxa" w:w="2880"/>
          </w:tcPr>
          <w:p>
            <w:r>
              <w:t>300 Paying Vendors</w:t>
            </w:r>
          </w:p>
        </w:tc>
        <w:tc>
          <w:tcPr>
            <w:tcW w:type="dxa" w:w="2880"/>
          </w:tcPr>
          <w:p>
            <w:r>
              <w:t>R1,080,000</w:t>
            </w:r>
          </w:p>
        </w:tc>
      </w:tr>
    </w:tbl>
    <w:p>
      <w:pPr>
        <w:pStyle w:val="ListBullet"/>
      </w:pPr>
      <w:r>
        <w:t xml:space="preserve">P1.1: </w:t>
      </w:r>
      <w:r>
        <w:t>Validate the "Max 10 Listing Paywall" conversion mechanism and achieve a low churn rate (&lt;5%).</w:t>
      </w:r>
    </w:p>
    <w:p>
      <w:pPr>
        <w:pStyle w:val="ListBullet"/>
      </w:pPr>
      <w:r>
        <w:t xml:space="preserve">P1.2: </w:t>
      </w:r>
      <w:r>
        <w:t>Establish a predictable Monthly Recurring Revenue (MRR) base and secure enough capital for initial feature expansion (e.g., in-app promotions).</w:t>
      </w:r>
    </w:p>
    <w:p>
      <w:pPr>
        <w:pStyle w:val="ListBullet"/>
      </w:pPr>
      <w:r>
        <w:t xml:space="preserve">P1.3: </w:t>
      </w:r>
      <w:r>
        <w:t>Achieve critical mass in one primary geographical area. This triggers the start of Phase 2 scaling.</w:t>
      </w:r>
    </w:p>
    <w:p>
      <w:pPr>
        <w:pStyle w:val="Heading1"/>
      </w:pPr>
      <w:r>
        <w:t>Phase 2: Aggressive Scaling &amp; Monetization Hybridization</w:t>
      </w:r>
    </w:p>
    <w:p>
      <w:r>
        <w:t>Once the platform proves it can retain 300+ vendors in one region, the strategy shifts to rapid expansion across multiple regions and the introduction of a new, high-volume revenue stream.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Vendor 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Annual Recurring Revenue (ARR)</w:t>
            </w:r>
          </w:p>
        </w:tc>
      </w:tr>
      <w:tr>
        <w:tc>
          <w:tcPr>
            <w:tcW w:type="dxa" w:w="2880"/>
          </w:tcPr>
          <w:p>
            <w:r>
              <w:t>P2.1 Multi-Region Launch</w:t>
            </w:r>
          </w:p>
        </w:tc>
        <w:tc>
          <w:tcPr>
            <w:tcW w:type="dxa" w:w="2880"/>
          </w:tcPr>
          <w:p>
            <w:r>
              <w:t>500 Paying Vendors</w:t>
            </w:r>
          </w:p>
        </w:tc>
        <w:tc>
          <w:tcPr>
            <w:tcW w:type="dxa" w:w="2880"/>
          </w:tcPr>
          <w:p>
            <w:r>
              <w:t>R1,800,000</w:t>
            </w:r>
          </w:p>
        </w:tc>
      </w:tr>
      <w:tr>
        <w:tc>
          <w:tcPr>
            <w:tcW w:type="dxa" w:w="2880"/>
          </w:tcPr>
          <w:p>
            <w:r>
              <w:t>P2.2 Hybrid Introduction</w:t>
            </w:r>
          </w:p>
        </w:tc>
        <w:tc>
          <w:tcPr>
            <w:tcW w:type="dxa" w:w="2880"/>
          </w:tcPr>
          <w:p>
            <w:r>
              <w:t>1,000 Paying Vendors</w:t>
            </w:r>
          </w:p>
        </w:tc>
        <w:tc>
          <w:tcPr>
            <w:tcW w:type="dxa" w:w="2880"/>
          </w:tcPr>
          <w:p>
            <w:r>
              <w:t>R3,600,000 (Subscription ARR)</w:t>
            </w:r>
          </w:p>
        </w:tc>
      </w:tr>
      <w:tr>
        <w:tc>
          <w:tcPr>
            <w:tcW w:type="dxa" w:w="2880"/>
          </w:tcPr>
          <w:p>
            <w:r>
              <w:t>P2.3 Transactional Boost</w:t>
            </w:r>
          </w:p>
        </w:tc>
        <w:tc>
          <w:tcPr>
            <w:tcW w:type="dxa" w:w="2880"/>
          </w:tcPr>
          <w:p>
            <w:r>
              <w:t>N/A (Based on GMV)</w:t>
            </w:r>
          </w:p>
        </w:tc>
        <w:tc>
          <w:tcPr>
            <w:tcW w:type="dxa" w:w="2880"/>
          </w:tcPr>
          <w:p>
            <w:r>
              <w:t>+ Variable Commission</w:t>
            </w:r>
          </w:p>
        </w:tc>
      </w:tr>
    </w:tbl>
    <w:p>
      <w:pPr>
        <w:pStyle w:val="ListBullet"/>
      </w:pPr>
      <w:r>
        <w:t xml:space="preserve">P2.1: </w:t>
      </w:r>
      <w:r>
        <w:t>Expand sales efforts and marketing to adjacent areas. Focus is still 100% on Subscription Revenue.</w:t>
      </w:r>
    </w:p>
    <w:p>
      <w:pPr>
        <w:pStyle w:val="ListBullet"/>
      </w:pPr>
      <w:r>
        <w:t xml:space="preserve">P2.2: </w:t>
      </w:r>
      <w:r>
        <w:t>TRIGGER: Integrated Logistics/Delivery is introduced, or a significant number of vendors hit the performance threshold.</w:t>
      </w:r>
    </w:p>
    <w:p>
      <w:pPr>
        <w:pStyle w:val="ListBullet"/>
      </w:pPr>
      <w:r>
        <w:t xml:space="preserve">P2.3: </w:t>
      </w:r>
      <w:r>
        <w:t>Introduce the 8% Take Rate (transaction commission) for vendors requiring integrated logistics or exceeding the R499 subscription value.</w:t>
      </w:r>
    </w:p>
    <w:p>
      <w:pPr>
        <w:pStyle w:val="Heading2"/>
      </w:pPr>
      <w:r>
        <w:t>Transactional Revenue Impact</w:t>
      </w:r>
    </w:p>
    <w:p>
      <w:r>
        <w:t>The true revenue leap occurs in Phase 2 when the 8% Transaction Commission is introduced. At this point, revenue becomes:</w:t>
      </w:r>
    </w:p>
    <w:p>
      <w:pPr>
        <w:pStyle w:val="IntenseQuote"/>
      </w:pPr>
      <w:r>
        <w:t>Total Revenue = Subscription ARR + Transaction Commission Revenue</w:t>
      </w:r>
    </w:p>
    <w:p>
      <w:r>
        <w:t xml:space="preserve">Example of Transactional Impact: </w:t>
      </w:r>
      <w:r>
        <w:t>If 500 of the 1,000 vendors average R10,000 in monthly Gross Merchandise Volume (GMV):</w:t>
      </w:r>
    </w:p>
    <w:p>
      <w:pPr>
        <w:pStyle w:val="ListBullet"/>
      </w:pPr>
      <w:r>
        <w:t xml:space="preserve">Transactional Revenue (Monthly) = 500 × R10,000 × 8% = </w:t>
      </w:r>
      <w:r>
        <w:rPr>
          <w:b/>
        </w:rPr>
        <w:t>R400,000</w:t>
      </w:r>
    </w:p>
    <w:p>
      <w:pPr>
        <w:pStyle w:val="ListBullet"/>
      </w:pPr>
      <w:r>
        <w:t xml:space="preserve">Transactional Revenue (Annual) = </w:t>
      </w:r>
      <w:r>
        <w:rPr>
          <w:b/>
        </w:rPr>
        <w:t>R4,800,000</w:t>
      </w:r>
    </w:p>
    <w:p>
      <w:r>
        <w:t>Projected Total Revenue at 1,000 Vendors (Subscription + Commission):</w:t>
      </w:r>
    </w:p>
    <w:p>
      <w:r>
        <w:t xml:space="preserve">R3,600,000 (Subscription) + R4,800,000 (Commission) = </w:t>
      </w:r>
      <w:r>
        <w:rPr>
          <w:b/>
        </w:rPr>
        <w:t>R8,400,000 Annual Revenue</w:t>
      </w:r>
    </w:p>
    <w:p>
      <w:pPr>
        <w:pStyle w:val="Heading1"/>
      </w:pPr>
      <w:r>
        <w:t>Phase 3: Demand-Side Monetization &amp; Full Scale</w:t>
      </w:r>
    </w:p>
    <w:p>
      <w:r>
        <w:t>This phase is characterized by platform maturity, high consumer traffic, and the introduction of revenue streams on the demand-side to maximize profit per region.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Vendor 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Consumer Base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Annual Revenue Potential</w:t>
            </w:r>
          </w:p>
        </w:tc>
      </w:tr>
      <w:tr>
        <w:tc>
          <w:tcPr>
            <w:tcW w:type="dxa" w:w="2160"/>
          </w:tcPr>
          <w:p>
            <w:r>
              <w:t>P3.1 Full Market Share</w:t>
            </w:r>
          </w:p>
        </w:tc>
        <w:tc>
          <w:tcPr>
            <w:tcW w:type="dxa" w:w="2160"/>
          </w:tcPr>
          <w:p>
            <w:r>
              <w:t>3,000+ Paying Vendors</w:t>
            </w:r>
          </w:p>
        </w:tc>
        <w:tc>
          <w:tcPr>
            <w:tcW w:type="dxa" w:w="2160"/>
          </w:tcPr>
          <w:p>
            <w:r>
              <w:t>5,000+ Active Consumers</w:t>
            </w:r>
          </w:p>
        </w:tc>
        <w:tc>
          <w:tcPr>
            <w:tcW w:type="dxa" w:w="2160"/>
          </w:tcPr>
          <w:p>
            <w:r>
              <w:t>R10,000,000 - R20,000,000+</w:t>
            </w:r>
          </w:p>
        </w:tc>
      </w:tr>
    </w:tbl>
    <w:p>
      <w:pPr>
        <w:pStyle w:val="ListBullet"/>
      </w:pPr>
      <w:r>
        <w:t>New Revenue Stream:</w:t>
      </w:r>
      <w:r>
        <w:t xml:space="preserve"> Advertising, Consumer Loyalty Fee</w:t>
      </w:r>
    </w:p>
    <w:p>
      <w:r>
        <w:t>Advertising Revenue (Premium Listings) and Demand-Side Subscription (e.g., R59/month for waived delivery) are introduced.</w:t>
      </w:r>
    </w:p>
    <w:p>
      <w:r>
        <w:t>In Phase 3, the platform achieves Net Negative Churn, meaning revenue gained from vendor upgrades and consumer subscriptions exceeds the revenue lost from vendor cancellations, securing long-term high-level profitability.</w:t>
      </w:r>
    </w:p>
    <w:p>
      <w:pPr>
        <w:pStyle w:val="Heading1"/>
      </w:pPr>
      <w:r>
        <w:t>Return on Investment (ROI) and Financial Health</w:t>
      </w:r>
    </w:p>
    <w:p>
      <w:r>
        <w:t>The continued high ROI of the scaling phases relies on two critical metrics:</w:t>
      </w:r>
    </w:p>
    <w:p>
      <w:pPr>
        <w:pStyle w:val="ListBullet"/>
      </w:pPr>
      <w:r>
        <w:t>1. Gross Margin (GM) Discipline:</w:t>
      </w:r>
    </w:p>
    <w:p>
      <w:r>
        <w:t xml:space="preserve">   Maintaining the </w:t>
      </w:r>
      <w:r>
        <w:rPr>
          <w:b/>
        </w:rPr>
        <w:t>90%+</w:t>
      </w:r>
      <w:r>
        <w:t xml:space="preserve"> GM on the subscription component. Even when transactional revenue is introduced, the fixed costs remain low, meaning the overall blended Gross Margin is still projected to be </w:t>
      </w:r>
      <w:r>
        <w:rPr>
          <w:b/>
        </w:rPr>
        <w:t>70%-80%</w:t>
      </w:r>
      <w:r>
        <w:t>.</w:t>
      </w:r>
    </w:p>
    <w:p>
      <w:pPr>
        <w:pStyle w:val="ListBullet"/>
      </w:pPr>
      <w:r>
        <w:t>2. Lifetime Value (VLV) Maximization:</w:t>
      </w:r>
    </w:p>
    <w:p>
      <w:r>
        <w:t xml:space="preserve">   Ensuring the Vendor Lifetime Value (VLV) remains high by constantly providing new features that justify the R199/R499 fees. The goal is to maximize the time a vendor remains active, turning the R3,600 annual value into R7,200 (2 years) or R10,800 (3 years).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