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945" w:rsidRPr="00A42945" w:rsidRDefault="00A42945" w:rsidP="00A42945">
      <w:pPr>
        <w:pStyle w:val="Heading1"/>
        <w:spacing w:before="0" w:beforeAutospacing="0" w:after="120" w:afterAutospacing="0"/>
        <w:rPr>
          <w:rFonts w:asciiTheme="minorHAnsi" w:hAnsiTheme="minorHAnsi"/>
        </w:rPr>
      </w:pPr>
      <w:r w:rsidRPr="00A42945">
        <w:rPr>
          <w:rFonts w:asciiTheme="minorHAnsi" w:hAnsiTheme="minorHAnsi"/>
          <w:color w:val="1F1F1F"/>
        </w:rPr>
        <w:t>Evaluation of the ReachHub MVP Vendor Subscription Revenue Model: Feasibility, Margin Expectations, and Real Terms Value</w:t>
      </w:r>
    </w:p>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t>I. Comprehensive Financial Feasibility Assessment and Executive Summary (Investment Mandate)</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proposed Minimum Viable Product (MVP) revenue framework for ReachHub is strategically sound and financially highly feasible, provided key operational risks concerning vendor retention are stringently managed. The model is deliberately designed to adhere to robust B2B Software as a Service (SaaS) economics, prioritizing the establishment of predictable Monthly Recurring Revenue (MRR) over complex, variable transactional models during the initial growth phase.</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core mandate of the MVP is successfully fulfilled: establishing financial stability through a recurring subscription base and targeting an extremely high Gross Margin (GM).</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high margin is achieved by structurally minimizing logistical and variable costs.</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viability of the model hinges on two operational imperatives: the conversion efficiency of the Product-Led Growth (PLG) architecture, driven by the 10-Item Paywall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and the platform's demonstrated capacity to execute data-driven retention strategies necessary to mitigate the endemic high churn volatility observed within the Small-to-Medium Business (SMB) market.</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A. Synthesis of Core Financial Targets and Risks</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Analysis confirms that the financial structure of the MVP offers significant advantages, though it carries substantial market-specific risk:</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b/>
          <w:bCs/>
          <w:color w:val="1F1F1F"/>
          <w:sz w:val="22"/>
          <w:szCs w:val="22"/>
        </w:rPr>
        <w:t>Margin Stability:</w:t>
      </w:r>
      <w:r w:rsidRPr="00A42945">
        <w:rPr>
          <w:rFonts w:asciiTheme="minorHAnsi" w:hAnsiTheme="minorHAnsi"/>
          <w:color w:val="1F1F1F"/>
          <w:sz w:val="22"/>
          <w:szCs w:val="22"/>
        </w:rPr>
        <w:t xml:space="preserve"> The targeted Gross Margin of </w:t>
      </w:r>
      <w:r w:rsidRPr="00A42945">
        <w:rPr>
          <w:rFonts w:asciiTheme="minorHAnsi" w:hAnsiTheme="minorHAnsi"/>
          <w:b/>
          <w:bCs/>
          <w:color w:val="1F1F1F"/>
          <w:sz w:val="22"/>
          <w:szCs w:val="22"/>
        </w:rPr>
        <w:t>$90\%+$</w:t>
      </w:r>
      <w:r w:rsidRPr="00A42945">
        <w:rPr>
          <w:rFonts w:asciiTheme="minorHAnsi" w:hAnsiTheme="minorHAnsi"/>
          <w:color w:val="1F1F1F"/>
          <w:sz w:val="22"/>
          <w:szCs w:val="22"/>
        </w:rPr>
        <w:t xml:space="preserve"> is structurally achievable in the MVP phase.</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is because Costs of Goods Sold (COGS) are strictly limited to fixed and low-variable infrastructure expenses—hosting, basic maintenance, and essential support—by strategically excluding variable logistical costs associated with integrated delivery services.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b/>
          <w:bCs/>
          <w:color w:val="1F1F1F"/>
          <w:sz w:val="22"/>
          <w:szCs w:val="22"/>
        </w:rPr>
        <w:t>Conversion and ARPU:</w:t>
      </w:r>
      <w:r w:rsidRPr="00A42945">
        <w:rPr>
          <w:rFonts w:asciiTheme="minorHAnsi" w:hAnsiTheme="minorHAnsi"/>
          <w:color w:val="1F1F1F"/>
          <w:sz w:val="22"/>
          <w:szCs w:val="22"/>
        </w:rPr>
        <w:t xml:space="preserve"> The model employs aggressive, usage-based feature gating to compel conversion from the R0 trial tier. The primary mechanism, limiting listings to 10 products, is designed to generate a high freemium-to-paid conversion rate of </w:t>
      </w:r>
      <w:r w:rsidRPr="00A42945">
        <w:rPr>
          <w:rFonts w:asciiTheme="minorHAnsi" w:hAnsiTheme="minorHAnsi"/>
          <w:b/>
          <w:bCs/>
          <w:color w:val="1F1F1F"/>
          <w:sz w:val="22"/>
          <w:szCs w:val="22"/>
        </w:rPr>
        <w:t>$10\%-12\%$</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Achieving</w:t>
      </w:r>
      <w:proofErr w:type="gramEnd"/>
      <w:r w:rsidRPr="00A42945">
        <w:rPr>
          <w:rFonts w:asciiTheme="minorHAnsi" w:hAnsiTheme="minorHAnsi"/>
          <w:color w:val="1F1F1F"/>
          <w:sz w:val="22"/>
          <w:szCs w:val="22"/>
        </w:rPr>
        <w:t xml:space="preserve"> the target Average Revenue Per User (ARPU) of </w:t>
      </w:r>
      <w:r w:rsidRPr="00A42945">
        <w:rPr>
          <w:rFonts w:asciiTheme="minorHAnsi" w:hAnsiTheme="minorHAnsi"/>
          <w:b/>
          <w:bCs/>
          <w:color w:val="1F1F1F"/>
          <w:sz w:val="22"/>
          <w:szCs w:val="22"/>
        </w:rPr>
        <w:t>R300+</w:t>
      </w:r>
      <w:r w:rsidRPr="00A42945">
        <w:rPr>
          <w:rFonts w:asciiTheme="minorHAnsi" w:hAnsiTheme="minorHAnsi"/>
          <w:color w:val="1F1F1F"/>
          <w:sz w:val="22"/>
          <w:szCs w:val="22"/>
        </w:rPr>
        <w:t xml:space="preserve"> requires successful upsells to the R499 Pro Merchant Tier, maximizing the value captured from high-activity vendors.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b/>
          <w:bCs/>
          <w:color w:val="1F1F1F"/>
          <w:sz w:val="22"/>
          <w:szCs w:val="22"/>
        </w:rPr>
        <w:t>Primary Risk Factor (Churn Volatility):</w:t>
      </w:r>
      <w:r w:rsidRPr="00A42945">
        <w:rPr>
          <w:rFonts w:asciiTheme="minorHAnsi" w:hAnsiTheme="minorHAnsi"/>
          <w:color w:val="1F1F1F"/>
          <w:sz w:val="22"/>
          <w:szCs w:val="22"/>
        </w:rPr>
        <w:t xml:space="preserve"> The most material threat to long-term financial stability is the inherent volatility of the SMB sector. Comparable local service sectors exhibit high annual attrition rates, sometimes reaching </w:t>
      </w:r>
      <w:r w:rsidRPr="00A42945">
        <w:rPr>
          <w:rFonts w:asciiTheme="minorHAnsi" w:hAnsiTheme="minorHAnsi"/>
          <w:b/>
          <w:bCs/>
          <w:color w:val="1F1F1F"/>
          <w:sz w:val="22"/>
          <w:szCs w:val="22"/>
        </w:rPr>
        <w:t>$43\%$</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Achieving the ambitious monthly churn goal of </w:t>
      </w:r>
      <w:r w:rsidRPr="00A42945">
        <w:rPr>
          <w:rFonts w:asciiTheme="minorHAnsi" w:hAnsiTheme="minorHAnsi"/>
          <w:b/>
          <w:bCs/>
          <w:color w:val="1F1F1F"/>
          <w:sz w:val="22"/>
          <w:szCs w:val="22"/>
        </w:rPr>
        <w:t>$&lt;5\%$</w:t>
      </w:r>
      <w:r w:rsidRPr="00A42945">
        <w:rPr>
          <w:rFonts w:asciiTheme="minorHAnsi" w:hAnsiTheme="minorHAnsi"/>
          <w:color w:val="1F1F1F"/>
          <w:sz w:val="22"/>
          <w:szCs w:val="22"/>
        </w:rPr>
        <w:t xml:space="preserve">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demands continuous, quantifiable value delivery that structurally outperforms this market volatility.</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Operationalizing Predictability and Margin Integrity</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strategic choice to prioritize stable, recurring MRR and defer reliance on highly volatile transactional volume (Gross Merchandise Volume, or GMV) creates a "predictability premium" for the platform.</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financial consistency is crucial for attracting investment in emerging markets where operational risk and variable consumer behavior are often higher.</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stable MRR base </w:t>
      </w:r>
      <w:r w:rsidRPr="00A42945">
        <w:rPr>
          <w:rFonts w:asciiTheme="minorHAnsi" w:hAnsiTheme="minorHAnsi"/>
          <w:color w:val="1F1F1F"/>
          <w:sz w:val="22"/>
          <w:szCs w:val="22"/>
        </w:rPr>
        <w:lastRenderedPageBreak/>
        <w:t>ensures reliable cash flow for operational planning and provides a necessary foundation for calculating Vendor Lifetime Value (VLV) and justifying future capital deployment.</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Fur</w:t>
      </w:r>
      <w:r>
        <w:rPr>
          <w:rFonts w:asciiTheme="minorHAnsi" w:hAnsiTheme="minorHAnsi"/>
          <w:color w:val="1F1F1F"/>
          <w:sz w:val="22"/>
          <w:szCs w:val="22"/>
        </w:rPr>
        <w:t xml:space="preserve">thermore, the target of 90%+ </w:t>
      </w:r>
      <w:r w:rsidRPr="00A42945">
        <w:rPr>
          <w:rFonts w:asciiTheme="minorHAnsi" w:hAnsiTheme="minorHAnsi"/>
          <w:color w:val="1F1F1F"/>
          <w:sz w:val="22"/>
          <w:szCs w:val="22"/>
        </w:rPr>
        <w:t>Gross Margin, which surpasses B2B SaaS be</w:t>
      </w:r>
      <w:r>
        <w:rPr>
          <w:rFonts w:asciiTheme="minorHAnsi" w:hAnsiTheme="minorHAnsi"/>
          <w:color w:val="1F1F1F"/>
          <w:sz w:val="22"/>
          <w:szCs w:val="22"/>
        </w:rPr>
        <w:t>st-in-class benchmarks 80%-85%</w:t>
      </w:r>
      <w:r w:rsidRPr="00A42945">
        <w:rPr>
          <w:rFonts w:asciiTheme="minorHAnsi" w:hAnsiTheme="minorHAnsi"/>
          <w:color w:val="444746"/>
          <w:sz w:val="14"/>
          <w:szCs w:val="14"/>
          <w:vertAlign w:val="superscript"/>
        </w:rPr>
        <w:t>2</w:t>
      </w:r>
      <w:r w:rsidRPr="00A42945">
        <w:rPr>
          <w:rFonts w:asciiTheme="minorHAnsi" w:hAnsiTheme="minorHAnsi"/>
          <w:color w:val="1F1F1F"/>
          <w:sz w:val="22"/>
          <w:szCs w:val="22"/>
        </w:rPr>
        <w:t>, functions as an essential operational firewall. This high margin ensures that if initial infrastructure or essential support costs slightly exceed projections, the margin can absorb these deviations without falling b</w:t>
      </w:r>
      <w:r>
        <w:rPr>
          <w:rFonts w:asciiTheme="minorHAnsi" w:hAnsiTheme="minorHAnsi"/>
          <w:color w:val="1F1F1F"/>
          <w:sz w:val="22"/>
          <w:szCs w:val="22"/>
        </w:rPr>
        <w:t>elow the critical 70%</w:t>
      </w:r>
      <w:r w:rsidRPr="00A42945">
        <w:rPr>
          <w:rFonts w:asciiTheme="minorHAnsi" w:hAnsiTheme="minorHAnsi"/>
          <w:color w:val="1F1F1F"/>
          <w:sz w:val="22"/>
          <w:szCs w:val="22"/>
        </w:rPr>
        <w:t xml:space="preserve"> threshold, which typically signals underlying pricing or cost management issues to investors.</w:t>
      </w:r>
      <w:r w:rsidRPr="00A42945">
        <w:rPr>
          <w:rFonts w:asciiTheme="minorHAnsi" w:hAnsiTheme="minorHAnsi"/>
          <w:color w:val="444746"/>
          <w:sz w:val="14"/>
          <w:szCs w:val="14"/>
          <w:vertAlign w:val="superscript"/>
        </w:rPr>
        <w:t>3</w:t>
      </w:r>
      <w:r w:rsidRPr="00A42945">
        <w:rPr>
          <w:rFonts w:asciiTheme="minorHAnsi" w:hAnsiTheme="minorHAnsi"/>
          <w:color w:val="1F1F1F"/>
          <w:sz w:val="22"/>
          <w:szCs w:val="22"/>
        </w:rPr>
        <w:t xml:space="preserve"> The high target is a clear indication of the structural integrity of the core subscription service: it is inherently inexpensive to deliver, independent of external operational complexities.</w:t>
      </w:r>
    </w:p>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t>II. Gross Margin Viability and Foundational SaaS Economics</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A. Analysis of the 90%+ Gross Margin Target</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an</w:t>
      </w:r>
      <w:r>
        <w:rPr>
          <w:rFonts w:asciiTheme="minorHAnsi" w:hAnsiTheme="minorHAnsi"/>
          <w:color w:val="1F1F1F"/>
          <w:sz w:val="22"/>
          <w:szCs w:val="22"/>
        </w:rPr>
        <w:t>alysis confirms that the 90%+</w:t>
      </w:r>
      <w:r w:rsidRPr="00A42945">
        <w:rPr>
          <w:rFonts w:asciiTheme="minorHAnsi" w:hAnsiTheme="minorHAnsi"/>
          <w:color w:val="1F1F1F"/>
          <w:sz w:val="22"/>
          <w:szCs w:val="22"/>
        </w:rPr>
        <w:t xml:space="preserve"> Gross Margin target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is structurally defensible and achievable during the Minimum Viable Product phase. This superior margin is a direct consequence of the </w:t>
      </w:r>
      <w:r w:rsidRPr="00A42945">
        <w:rPr>
          <w:rFonts w:asciiTheme="minorHAnsi" w:hAnsiTheme="minorHAnsi"/>
          <w:b/>
          <w:bCs/>
          <w:color w:val="1F1F1F"/>
          <w:sz w:val="22"/>
          <w:szCs w:val="22"/>
        </w:rPr>
        <w:t>Rationale for Subscription-Only Focus</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By strategically excluding integrated delivery logistics and complex transactional costs, the platform avoids incorporating high variable costs into its cost structure, thereby drastically simplifying COGS.</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Benchmarking and the Fragility of the Margin</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Costs of Goods Sold for the subscription service are fundamentally limited to low, fixed infrastructure costs, including hosting, basic platform maintenance, and the necessary customer support infrastructure.</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fixed-cost composition means the marginal cost of serving an additional vendor approaches zero, which is t</w:t>
      </w:r>
      <w:r>
        <w:rPr>
          <w:rFonts w:asciiTheme="minorHAnsi" w:hAnsiTheme="minorHAnsi"/>
          <w:color w:val="1F1F1F"/>
          <w:sz w:val="22"/>
          <w:szCs w:val="22"/>
        </w:rPr>
        <w:t>he mechanism driving the 90%+</w:t>
      </w:r>
      <w:r w:rsidRPr="00A42945">
        <w:rPr>
          <w:rFonts w:asciiTheme="minorHAnsi" w:hAnsiTheme="minorHAnsi"/>
          <w:color w:val="1F1F1F"/>
          <w:sz w:val="22"/>
          <w:szCs w:val="22"/>
        </w:rPr>
        <w:t xml:space="preserve"> margin.</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While this performance significantly outperforms typical B2B SaaS benchmarks, the margin is inherently fragile and temporary. The roadmap for scaling dictates that the eventual transition to a hybrid revenue model must be triggered by the launch of integrated Delivery/Logistics (Trigger A for the Take Rate introduction).</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Introducing internal logistics will immediately introduce substantial variable COGS, such as driver salaries, fleet maintenance, and insurance.</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resulting margin compression is inevitable. Financial viability during this transition requires that the recurring subscription revenue stream remains stable and sticky enough to cushion the overall blended Gross Margin against the introduction of these high variable costs.</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C. Resource Consumption in the R0 Tier</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A sophisticated understanding of the MVP’s economics must account for the consumption of resources by non-paying users. The Product-Led Growth (PLG) strategy intentionally maximizes the top of the funnel using the R0 Basic Access tier.</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Although</w:t>
      </w:r>
      <w:proofErr w:type="gramEnd"/>
      <w:r w:rsidRPr="00A42945">
        <w:rPr>
          <w:rFonts w:asciiTheme="minorHAnsi" w:hAnsiTheme="minorHAnsi"/>
          <w:color w:val="1F1F1F"/>
          <w:sz w:val="22"/>
          <w:szCs w:val="22"/>
        </w:rPr>
        <w:t xml:space="preserve"> these trial users generate no direct revenue, they consume support services, bandwidth, and computational resources, representing a hidden form of COGS.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Pr>
          <w:rFonts w:asciiTheme="minorHAnsi" w:hAnsiTheme="minorHAnsi"/>
          <w:color w:val="1F1F1F"/>
          <w:sz w:val="22"/>
          <w:szCs w:val="22"/>
        </w:rPr>
        <w:t>If the targeted 10%-12%</w:t>
      </w:r>
      <w:r w:rsidRPr="00A42945">
        <w:rPr>
          <w:rFonts w:asciiTheme="minorHAnsi" w:hAnsiTheme="minorHAnsi"/>
          <w:color w:val="1F1F1F"/>
          <w:sz w:val="22"/>
          <w:szCs w:val="22"/>
        </w:rPr>
        <w:t xml:space="preserve"> conversion rate is not consistently achieved, the platform risks resource depletion by "freebie seekers," directly eroding the targeted $90\%$ Gross Margin.</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To maintain financial efficiency, strict operational discipline is required to aggressively manage the resources allocated to R0 users and to automatically sunset inactive trial accounts. This ensures that the costs incurred in supporting the free tier directly contribute to the conversion pipeline, safeguarding the structural integrity of the margin.</w:t>
      </w:r>
    </w:p>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lastRenderedPageBreak/>
        <w:t>III. The Value Proposition in Real Terms: Eliminating SME Capital Expenditure</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most powerful component of ReachHub’s value proposition in real economic terms is its ability to immediately and substantially reduce the financial risk and capital outlay required for a Small-to-Medium Business (SMB) to establish a digital presence.</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 xml:space="preserve">A. Quantifiable Barrier Removal: </w:t>
      </w:r>
      <w:proofErr w:type="spellStart"/>
      <w:r w:rsidRPr="00A42945">
        <w:rPr>
          <w:rFonts w:asciiTheme="minorHAnsi" w:hAnsiTheme="minorHAnsi"/>
          <w:color w:val="1F1F1F"/>
          <w:sz w:val="28"/>
          <w:szCs w:val="28"/>
        </w:rPr>
        <w:t>CapEx</w:t>
      </w:r>
      <w:proofErr w:type="spellEnd"/>
      <w:r w:rsidRPr="00A42945">
        <w:rPr>
          <w:rFonts w:asciiTheme="minorHAnsi" w:hAnsiTheme="minorHAnsi"/>
          <w:color w:val="1F1F1F"/>
          <w:sz w:val="28"/>
          <w:szCs w:val="28"/>
        </w:rPr>
        <w:t xml:space="preserve"> to </w:t>
      </w:r>
      <w:proofErr w:type="spellStart"/>
      <w:r w:rsidRPr="00A42945">
        <w:rPr>
          <w:rFonts w:asciiTheme="minorHAnsi" w:hAnsiTheme="minorHAnsi"/>
          <w:color w:val="1F1F1F"/>
          <w:sz w:val="28"/>
          <w:szCs w:val="28"/>
        </w:rPr>
        <w:t>OpEx</w:t>
      </w:r>
      <w:proofErr w:type="spellEnd"/>
      <w:r w:rsidRPr="00A42945">
        <w:rPr>
          <w:rFonts w:asciiTheme="minorHAnsi" w:hAnsiTheme="minorHAnsi"/>
          <w:color w:val="1F1F1F"/>
          <w:sz w:val="28"/>
          <w:szCs w:val="28"/>
        </w:rPr>
        <w:t xml:space="preserve"> Shift</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Benchmarking against the local market confirms that ReachHub eliminates the massive barrier to entry represented by upfront capital costs.</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For an established SME, constructing a professional, robust, semi-custom e-commerce store requires a prohibitive capital investment ranging from </w:t>
      </w:r>
      <w:r w:rsidRPr="00A42945">
        <w:rPr>
          <w:rFonts w:asciiTheme="minorHAnsi" w:hAnsiTheme="minorHAnsi"/>
          <w:b/>
          <w:bCs/>
          <w:color w:val="1F1F1F"/>
          <w:sz w:val="22"/>
          <w:szCs w:val="22"/>
        </w:rPr>
        <w:t>R30,000 to R85,000</w:t>
      </w:r>
      <w:r w:rsidRPr="00A42945">
        <w:rPr>
          <w:rFonts w:asciiTheme="minorHAnsi" w:hAnsiTheme="minorHAnsi"/>
          <w:color w:val="1F1F1F"/>
          <w:sz w:val="22"/>
          <w:szCs w:val="22"/>
        </w:rPr>
        <w:t>, compounded by ongoing monthly hosting fees.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subscription model strategically converts this high-risk, large-scale Capital Expenditure (</w:t>
      </w:r>
      <w:proofErr w:type="spellStart"/>
      <w:r w:rsidRPr="00A42945">
        <w:rPr>
          <w:rFonts w:asciiTheme="minorHAnsi" w:hAnsiTheme="minorHAnsi"/>
          <w:color w:val="1F1F1F"/>
          <w:sz w:val="22"/>
          <w:szCs w:val="22"/>
        </w:rPr>
        <w:t>CapEx</w:t>
      </w:r>
      <w:proofErr w:type="spellEnd"/>
      <w:r w:rsidRPr="00A42945">
        <w:rPr>
          <w:rFonts w:asciiTheme="minorHAnsi" w:hAnsiTheme="minorHAnsi"/>
          <w:color w:val="1F1F1F"/>
          <w:sz w:val="22"/>
          <w:szCs w:val="22"/>
        </w:rPr>
        <w:t>) into a manageable, low-risk Operational Expense (</w:t>
      </w:r>
      <w:proofErr w:type="spellStart"/>
      <w:r w:rsidRPr="00A42945">
        <w:rPr>
          <w:rFonts w:asciiTheme="minorHAnsi" w:hAnsiTheme="minorHAnsi"/>
          <w:color w:val="1F1F1F"/>
          <w:sz w:val="22"/>
          <w:szCs w:val="22"/>
        </w:rPr>
        <w:t>OpEx</w:t>
      </w:r>
      <w:proofErr w:type="spellEnd"/>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This</w:t>
      </w:r>
      <w:proofErr w:type="gramEnd"/>
      <w:r w:rsidRPr="00A42945">
        <w:rPr>
          <w:rFonts w:asciiTheme="minorHAnsi" w:hAnsiTheme="minorHAnsi"/>
          <w:color w:val="1F1F1F"/>
          <w:sz w:val="22"/>
          <w:szCs w:val="22"/>
        </w:rPr>
        <w:t xml:space="preserve"> shift is the foundational justification for both the R199 Standard Store and R499 Pro Merchant fees, repositioning the cost of a professional digital presence from a prohibitive barrier to a manageable operational cost, thereby democratizing market access for SMBs.</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Competitive Pricing and Asymmetric Value Delivery</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proposed pricing is validated as highly competitive within the South African e-commerce SaaS market.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R199 Standard Tier sits </w:t>
      </w:r>
      <w:proofErr w:type="spellStart"/>
      <w:r w:rsidRPr="00A42945">
        <w:rPr>
          <w:rFonts w:asciiTheme="minorHAnsi" w:hAnsiTheme="minorHAnsi"/>
          <w:color w:val="1F1F1F"/>
          <w:sz w:val="22"/>
          <w:szCs w:val="22"/>
        </w:rPr>
        <w:t>favorably</w:t>
      </w:r>
      <w:proofErr w:type="spellEnd"/>
      <w:r w:rsidRPr="00A42945">
        <w:rPr>
          <w:rFonts w:asciiTheme="minorHAnsi" w:hAnsiTheme="minorHAnsi"/>
          <w:color w:val="1F1F1F"/>
          <w:sz w:val="22"/>
          <w:szCs w:val="22"/>
        </w:rPr>
        <w:t xml:space="preserve"> below established mid-market competitors (R296–R382) while delivering asymmetric value through immediate access to a captive local consumer base, unlike typical standalone website builders.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The R499 Pro Merchant Tier is justified as the Optimization Paywall only by delivering features that guarantee measurable ROI, specifically the </w:t>
      </w:r>
      <w:r w:rsidRPr="00A42945">
        <w:rPr>
          <w:rFonts w:asciiTheme="minorHAnsi" w:hAnsiTheme="minorHAnsi"/>
          <w:b/>
          <w:bCs/>
          <w:color w:val="1F1F1F"/>
          <w:sz w:val="22"/>
          <w:szCs w:val="22"/>
        </w:rPr>
        <w:t>Advanced Analytics/</w:t>
      </w:r>
      <w:proofErr w:type="spellStart"/>
      <w:r w:rsidRPr="00A42945">
        <w:rPr>
          <w:rFonts w:asciiTheme="minorHAnsi" w:hAnsiTheme="minorHAnsi"/>
          <w:b/>
          <w:bCs/>
          <w:color w:val="1F1F1F"/>
          <w:sz w:val="22"/>
          <w:szCs w:val="22"/>
        </w:rPr>
        <w:t>Heatmaps</w:t>
      </w:r>
      <w:proofErr w:type="spellEnd"/>
      <w:r w:rsidRPr="00A42945">
        <w:rPr>
          <w:rFonts w:asciiTheme="minorHAnsi" w:hAnsiTheme="minorHAnsi"/>
          <w:color w:val="1F1F1F"/>
          <w:sz w:val="22"/>
          <w:szCs w:val="22"/>
        </w:rPr>
        <w:t xml:space="preserve"> Unique Selling Proposition (UVP).</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For</w:t>
      </w:r>
      <w:proofErr w:type="gramEnd"/>
      <w:r w:rsidRPr="00A42945">
        <w:rPr>
          <w:rFonts w:asciiTheme="minorHAnsi" w:hAnsiTheme="minorHAnsi"/>
          <w:color w:val="1F1F1F"/>
          <w:sz w:val="22"/>
          <w:szCs w:val="22"/>
        </w:rPr>
        <w:t xml:space="preserve"> a vendor to justify the R499 fee, the analytics must translate the cost into tangible profit gains, such as optimizing inventory, reducing operational costs, or achieving superior sales velocity.</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C. Cost of Failure Reduction</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A critical element of the real-terms value proposition is the reduction in financial jeopardy for new ventures. An SMB risks the full R85</w:t>
      </w:r>
      <w:proofErr w:type="gramStart"/>
      <w:r w:rsidRPr="00A42945">
        <w:rPr>
          <w:rFonts w:asciiTheme="minorHAnsi" w:hAnsiTheme="minorHAnsi"/>
          <w:color w:val="1F1F1F"/>
          <w:sz w:val="22"/>
          <w:szCs w:val="22"/>
        </w:rPr>
        <w:t>,000</w:t>
      </w:r>
      <w:proofErr w:type="gramEnd"/>
      <w:r w:rsidRPr="00A42945">
        <w:rPr>
          <w:rFonts w:asciiTheme="minorHAnsi" w:hAnsiTheme="minorHAnsi"/>
          <w:color w:val="1F1F1F"/>
          <w:sz w:val="22"/>
          <w:szCs w:val="22"/>
        </w:rPr>
        <w:t xml:space="preserve"> capital investment if a custom e-commerce venture fails. By subscribing to ReachHub, the vendor limits their maximum potential monthly loss to R499. This tangible reduction in the cost of failure is a powerful, if often unstated, financial benefit. The platform’s marketing narrative should therefore emphasize the concept of a </w:t>
      </w:r>
      <w:r w:rsidRPr="00A42945">
        <w:rPr>
          <w:rFonts w:asciiTheme="minorHAnsi" w:hAnsiTheme="minorHAnsi"/>
          <w:b/>
          <w:bCs/>
          <w:color w:val="1F1F1F"/>
          <w:sz w:val="22"/>
          <w:szCs w:val="22"/>
        </w:rPr>
        <w:t>de-risked professional online presence</w:t>
      </w:r>
      <w:r w:rsidRPr="00A42945">
        <w:rPr>
          <w:rFonts w:asciiTheme="minorHAnsi" w:hAnsiTheme="minorHAnsi"/>
          <w:color w:val="1F1F1F"/>
          <w:sz w:val="22"/>
          <w:szCs w:val="22"/>
        </w:rPr>
        <w:t xml:space="preserve"> and low-</w:t>
      </w:r>
      <w:proofErr w:type="spellStart"/>
      <w:r w:rsidRPr="00A42945">
        <w:rPr>
          <w:rFonts w:asciiTheme="minorHAnsi" w:hAnsiTheme="minorHAnsi"/>
          <w:color w:val="1F1F1F"/>
          <w:sz w:val="22"/>
          <w:szCs w:val="22"/>
        </w:rPr>
        <w:t>CapEx</w:t>
      </w:r>
      <w:proofErr w:type="spellEnd"/>
      <w:r w:rsidRPr="00A42945">
        <w:rPr>
          <w:rFonts w:asciiTheme="minorHAnsi" w:hAnsiTheme="minorHAnsi"/>
          <w:color w:val="1F1F1F"/>
          <w:sz w:val="22"/>
          <w:szCs w:val="22"/>
        </w:rPr>
        <w:t xml:space="preserve"> enablement for growth, positioning the subscription as a secure financial strategy for digital expansion.</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Table 1: Competitive Landscape and Real-Terms Value Proposition</w:t>
      </w:r>
    </w:p>
    <w:p w:rsidR="00A42945" w:rsidRPr="00A42945" w:rsidRDefault="00A42945" w:rsidP="00A42945"/>
    <w:tbl>
      <w:tblPr>
        <w:tblW w:w="0" w:type="auto"/>
        <w:tblCellMar>
          <w:top w:w="15" w:type="dxa"/>
          <w:left w:w="15" w:type="dxa"/>
          <w:bottom w:w="15" w:type="dxa"/>
          <w:right w:w="15" w:type="dxa"/>
        </w:tblCellMar>
        <w:tblLook w:val="04A0" w:firstRow="1" w:lastRow="0" w:firstColumn="1" w:lastColumn="0" w:noHBand="0" w:noVBand="1"/>
      </w:tblPr>
      <w:tblGrid>
        <w:gridCol w:w="2107"/>
        <w:gridCol w:w="1381"/>
        <w:gridCol w:w="1854"/>
        <w:gridCol w:w="4044"/>
      </w:tblGrid>
      <w:tr w:rsidR="00A42945" w:rsidRPr="00A42945" w:rsidTr="00A4294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b/>
                <w:bCs/>
                <w:color w:val="1F1F1F"/>
                <w:sz w:val="22"/>
                <w:szCs w:val="22"/>
              </w:rPr>
              <w:t>ReachHub Tier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b/>
                <w:bCs/>
                <w:color w:val="1F1F1F"/>
                <w:sz w:val="22"/>
                <w:szCs w:val="22"/>
              </w:rPr>
              <w:t>Monthly Fee (R)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b/>
                <w:bCs/>
                <w:color w:val="1F1F1F"/>
                <w:sz w:val="22"/>
                <w:szCs w:val="22"/>
              </w:rPr>
              <w:t>Upfront Cost Avoidance (R)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b/>
                <w:bCs/>
                <w:color w:val="1F1F1F"/>
                <w:sz w:val="22"/>
                <w:szCs w:val="22"/>
              </w:rPr>
              <w:t>Core Value Justification (Real Terms)</w:t>
            </w:r>
          </w:p>
        </w:tc>
      </w:tr>
      <w:tr w:rsidR="00A42945" w:rsidRPr="00A42945" w:rsidTr="00A4294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lastRenderedPageBreak/>
              <w:t>Tier 2: Standard Store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R199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0" w:beforeAutospacing="0" w:after="0" w:afterAutospacing="0" w:line="0" w:lineRule="atLeast"/>
              <w:rPr>
                <w:rFonts w:asciiTheme="minorHAnsi" w:hAnsiTheme="minorHAnsi"/>
              </w:rPr>
            </w:pPr>
            <w:r w:rsidRPr="00A42945">
              <w:rPr>
                <w:rFonts w:asciiTheme="minorHAnsi" w:hAnsiTheme="minorHAnsi"/>
                <w:color w:val="1F1F1F"/>
                <w:sz w:val="22"/>
                <w:szCs w:val="22"/>
              </w:rPr>
              <w:t xml:space="preserve">R30,000 – R85,000 </w:t>
            </w:r>
            <w:r w:rsidRPr="00A42945">
              <w:rPr>
                <w:rFonts w:asciiTheme="minorHAnsi" w:hAnsiTheme="minorHAnsi"/>
                <w:color w:val="444746"/>
                <w:sz w:val="14"/>
                <w:szCs w:val="14"/>
                <w:vertAlign w:val="superscript"/>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 xml:space="preserve">Full digital presence for an </w:t>
            </w:r>
            <w:proofErr w:type="spellStart"/>
            <w:r w:rsidRPr="00A42945">
              <w:rPr>
                <w:rFonts w:asciiTheme="minorHAnsi" w:hAnsiTheme="minorHAnsi"/>
                <w:color w:val="1F1F1F"/>
                <w:sz w:val="22"/>
                <w:szCs w:val="22"/>
              </w:rPr>
              <w:t>OpEx</w:t>
            </w:r>
            <w:proofErr w:type="spellEnd"/>
            <w:r w:rsidRPr="00A42945">
              <w:rPr>
                <w:rFonts w:asciiTheme="minorHAnsi" w:hAnsiTheme="minorHAnsi"/>
                <w:color w:val="1F1F1F"/>
                <w:sz w:val="22"/>
                <w:szCs w:val="22"/>
              </w:rPr>
              <w:t xml:space="preserve"> cost, situated competitively below mid-market SaaS pricing.</w:t>
            </w:r>
          </w:p>
        </w:tc>
      </w:tr>
      <w:tr w:rsidR="00A42945" w:rsidRPr="00A42945" w:rsidTr="00A4294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Tier 3: Pro Merchant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R499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R30,000 – R85,000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0" w:beforeAutospacing="0" w:after="0" w:afterAutospacing="0" w:line="0" w:lineRule="atLeast"/>
              <w:rPr>
                <w:rFonts w:asciiTheme="minorHAnsi" w:hAnsiTheme="minorHAnsi"/>
              </w:rPr>
            </w:pPr>
            <w:r w:rsidRPr="00A42945">
              <w:rPr>
                <w:rFonts w:asciiTheme="minorHAnsi" w:hAnsiTheme="minorHAnsi"/>
                <w:color w:val="1F1F1F"/>
                <w:sz w:val="22"/>
                <w:szCs w:val="22"/>
              </w:rPr>
              <w:t>Optimization Paywall: ROI derived from unique, actionable Advanced Analytics (UVP).</w:t>
            </w:r>
            <w:r w:rsidRPr="00A42945">
              <w:rPr>
                <w:rFonts w:asciiTheme="minorHAnsi" w:hAnsiTheme="minorHAnsi"/>
                <w:color w:val="444746"/>
                <w:sz w:val="14"/>
                <w:szCs w:val="14"/>
                <w:vertAlign w:val="superscript"/>
              </w:rPr>
              <w:t>1</w:t>
            </w:r>
          </w:p>
        </w:tc>
      </w:tr>
      <w:tr w:rsidR="00A42945" w:rsidRPr="00A42945" w:rsidTr="00A4294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Established SME SaaS (SA-focused)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R296 – R382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0" w:beforeAutospacing="0" w:after="0" w:afterAutospacing="0" w:line="0" w:lineRule="atLeast"/>
              <w:rPr>
                <w:rFonts w:asciiTheme="minorHAnsi" w:hAnsiTheme="minorHAnsi"/>
              </w:rPr>
            </w:pPr>
            <w:r w:rsidRPr="00A42945">
              <w:rPr>
                <w:rFonts w:asciiTheme="minorHAnsi" w:hAnsiTheme="minorHAnsi"/>
                <w:color w:val="1F1F1F"/>
                <w:sz w:val="22"/>
                <w:szCs w:val="22"/>
              </w:rPr>
              <w:t xml:space="preserve">Gateway access, moderate scaling tools, requiring separate setup. </w:t>
            </w:r>
            <w:r w:rsidRPr="00A42945">
              <w:rPr>
                <w:rFonts w:asciiTheme="minorHAnsi" w:hAnsiTheme="minorHAnsi"/>
                <w:color w:val="444746"/>
                <w:sz w:val="14"/>
                <w:szCs w:val="14"/>
                <w:vertAlign w:val="superscript"/>
              </w:rPr>
              <w:t>1</w:t>
            </w:r>
          </w:p>
        </w:tc>
      </w:tr>
      <w:tr w:rsidR="00A42945" w:rsidRPr="00A42945" w:rsidTr="00A42945">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Semi-Custom SME Build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R0 – R500+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120" w:beforeAutospacing="0" w:after="120" w:afterAutospacing="0" w:line="0" w:lineRule="atLeast"/>
              <w:rPr>
                <w:rFonts w:asciiTheme="minorHAnsi" w:hAnsiTheme="minorHAnsi"/>
              </w:rPr>
            </w:pPr>
            <w:r w:rsidRPr="00A42945">
              <w:rPr>
                <w:rFonts w:asciiTheme="minorHAnsi" w:hAnsiTheme="minorHAnsi"/>
                <w:color w:val="1F1F1F"/>
                <w:sz w:val="22"/>
                <w:szCs w:val="22"/>
              </w:rPr>
              <w:t>R30,000 – R85,000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A42945" w:rsidRPr="00A42945" w:rsidRDefault="00A42945">
            <w:pPr>
              <w:pStyle w:val="NormalWeb"/>
              <w:spacing w:before="0" w:beforeAutospacing="0" w:after="0" w:afterAutospacing="0" w:line="0" w:lineRule="atLeast"/>
              <w:rPr>
                <w:rFonts w:asciiTheme="minorHAnsi" w:hAnsiTheme="minorHAnsi"/>
              </w:rPr>
            </w:pPr>
            <w:r w:rsidRPr="00A42945">
              <w:rPr>
                <w:rFonts w:asciiTheme="minorHAnsi" w:hAnsiTheme="minorHAnsi"/>
                <w:color w:val="1F1F1F"/>
                <w:sz w:val="22"/>
                <w:szCs w:val="22"/>
              </w:rPr>
              <w:t xml:space="preserve">High-risk, bespoke, and significant capital commitment. </w:t>
            </w:r>
            <w:r w:rsidRPr="00A42945">
              <w:rPr>
                <w:rFonts w:asciiTheme="minorHAnsi" w:hAnsiTheme="minorHAnsi"/>
                <w:color w:val="444746"/>
                <w:sz w:val="14"/>
                <w:szCs w:val="14"/>
                <w:vertAlign w:val="superscript"/>
              </w:rPr>
              <w:t>1</w:t>
            </w:r>
          </w:p>
        </w:tc>
      </w:tr>
    </w:tbl>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t>IV. Tiered Monetization Architecture: Conversion Mechanics and ARPU Optimization</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A. The Conversion Engine: Usage-Based Feature Gating</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The tiered </w:t>
      </w:r>
      <w:proofErr w:type="gramStart"/>
      <w:r w:rsidRPr="00A42945">
        <w:rPr>
          <w:rFonts w:asciiTheme="minorHAnsi" w:hAnsiTheme="minorHAnsi"/>
          <w:color w:val="1F1F1F"/>
          <w:sz w:val="22"/>
          <w:szCs w:val="22"/>
        </w:rPr>
        <w:t>structure is architected as a highly controlled Product-Led Growth (PLG) engine.</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R0 Basic Access tier’s objective is to achieve rapid Time to First Value (TTFV), allowing the vendor to list products, complete setup, and ideally receive</w:t>
      </w:r>
      <w:proofErr w:type="gramEnd"/>
      <w:r w:rsidRPr="00A42945">
        <w:rPr>
          <w:rFonts w:asciiTheme="minorHAnsi" w:hAnsiTheme="minorHAnsi"/>
          <w:color w:val="1F1F1F"/>
          <w:sz w:val="22"/>
          <w:szCs w:val="22"/>
        </w:rPr>
        <w:t xml:space="preserve"> test orders.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Conversion efficacy is critically reliant on the strategic feature gating mechanism: the strict </w:t>
      </w:r>
      <w:r w:rsidRPr="00A42945">
        <w:rPr>
          <w:rFonts w:asciiTheme="minorHAnsi" w:hAnsiTheme="minorHAnsi"/>
          <w:b/>
          <w:bCs/>
          <w:color w:val="1F1F1F"/>
          <w:sz w:val="22"/>
          <w:szCs w:val="22"/>
        </w:rPr>
        <w:t>Maximum 10 Product Listings</w:t>
      </w:r>
      <w:r w:rsidRPr="00A42945">
        <w:rPr>
          <w:rFonts w:asciiTheme="minorHAnsi" w:hAnsiTheme="minorHAnsi"/>
          <w:color w:val="1F1F1F"/>
          <w:sz w:val="22"/>
          <w:szCs w:val="22"/>
        </w:rPr>
        <w:t xml:space="preserve"> limit.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limit allows temporary testing but is fundamentally restrictive and unsustainable for any serious commercial activity.</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creates a non-negotiable friction point that forces conversion the moment a vendor attempts to upload their 11th product, driving the user from a trial state to a paying operational customer based on validated success and necessity for scale.</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Target Conversion Rate Feasibility (10%–12%)</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targeted freemium-to-pai</w:t>
      </w:r>
      <w:r>
        <w:rPr>
          <w:rFonts w:asciiTheme="minorHAnsi" w:hAnsiTheme="minorHAnsi"/>
          <w:color w:val="1F1F1F"/>
          <w:sz w:val="22"/>
          <w:szCs w:val="22"/>
        </w:rPr>
        <w:t>d conversion rate of 10%-12%</w:t>
      </w:r>
      <w:r w:rsidRPr="00A42945">
        <w:rPr>
          <w:rFonts w:asciiTheme="minorHAnsi" w:hAnsiTheme="minorHAnsi"/>
          <w:color w:val="1F1F1F"/>
          <w:sz w:val="22"/>
          <w:szCs w:val="22"/>
        </w:rPr>
        <w:t xml:space="preserve">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is positioned at the high end of the B</w:t>
      </w:r>
      <w:r>
        <w:rPr>
          <w:rFonts w:asciiTheme="minorHAnsi" w:hAnsiTheme="minorHAnsi"/>
          <w:color w:val="1F1F1F"/>
          <w:sz w:val="22"/>
          <w:szCs w:val="22"/>
        </w:rPr>
        <w:t>2B SaaS benchmark $2.6%-15%</w:t>
      </w:r>
      <w:r w:rsidRPr="00A42945">
        <w:rPr>
          <w:rFonts w:asciiTheme="minorHAnsi" w:hAnsiTheme="minorHAnsi"/>
          <w:color w:val="1F1F1F"/>
          <w:sz w:val="22"/>
          <w:szCs w:val="22"/>
        </w:rPr>
        <w:t xml:space="preserve">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and aligns with "Exceptional" industry performance metrics.</w:t>
      </w:r>
      <w:r w:rsidRPr="00A42945">
        <w:rPr>
          <w:rFonts w:asciiTheme="minorHAnsi" w:hAnsiTheme="minorHAnsi"/>
          <w:color w:val="444746"/>
          <w:sz w:val="14"/>
          <w:szCs w:val="14"/>
          <w:vertAlign w:val="superscript"/>
        </w:rPr>
        <w:t>4</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This</w:t>
      </w:r>
      <w:proofErr w:type="gramEnd"/>
      <w:r w:rsidRPr="00A42945">
        <w:rPr>
          <w:rFonts w:asciiTheme="minorHAnsi" w:hAnsiTheme="minorHAnsi"/>
          <w:color w:val="1F1F1F"/>
          <w:sz w:val="22"/>
          <w:szCs w:val="22"/>
        </w:rPr>
        <w:t xml:space="preserve"> high target is achievable because the R0 tier functions as a highly effective </w:t>
      </w:r>
      <w:r w:rsidRPr="00A42945">
        <w:rPr>
          <w:rFonts w:asciiTheme="minorHAnsi" w:hAnsiTheme="minorHAnsi"/>
          <w:b/>
          <w:bCs/>
          <w:color w:val="1F1F1F"/>
          <w:sz w:val="22"/>
          <w:szCs w:val="22"/>
        </w:rPr>
        <w:t>self-qualifying trial</w:t>
      </w:r>
      <w:r w:rsidRPr="00A42945">
        <w:rPr>
          <w:rFonts w:asciiTheme="minorHAnsi" w:hAnsiTheme="minorHAnsi"/>
          <w:color w:val="1F1F1F"/>
          <w:sz w:val="22"/>
          <w:szCs w:val="22"/>
        </w:rPr>
        <w:t>. Conversion is triggered by the vendor demonstrating operational success and growth necessity, ensuring that the converting cohort is highly committed and pre-qualified to pay for the unlocked utility.</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The</w:t>
      </w:r>
      <w:proofErr w:type="gramEnd"/>
      <w:r w:rsidRPr="00A42945">
        <w:rPr>
          <w:rFonts w:asciiTheme="minorHAnsi" w:hAnsiTheme="minorHAnsi"/>
          <w:color w:val="1F1F1F"/>
          <w:sz w:val="22"/>
          <w:szCs w:val="22"/>
        </w:rPr>
        <w:t xml:space="preserve"> strategy is focused on converting users who have experienced utility and require expansion, maximizing the quality of conversions.</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C. Maximizing ARPU through the R499 Optimization Paywall</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To achieve the R300+ ARPU target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significant emphasis must be placed on successfully driving upsells to the R499 Pro Me</w:t>
      </w:r>
      <w:r>
        <w:rPr>
          <w:rFonts w:asciiTheme="minorHAnsi" w:hAnsiTheme="minorHAnsi"/>
          <w:color w:val="1F1F1F"/>
          <w:sz w:val="22"/>
          <w:szCs w:val="22"/>
        </w:rPr>
        <w:t xml:space="preserve">rchant Tier, which yields 2.5 </w:t>
      </w:r>
      <w:r w:rsidRPr="00A42945">
        <w:rPr>
          <w:rFonts w:asciiTheme="minorHAnsi" w:hAnsiTheme="minorHAnsi"/>
          <w:color w:val="1F1F1F"/>
          <w:sz w:val="22"/>
          <w:szCs w:val="22"/>
        </w:rPr>
        <w:t>times the revenue of the Standard Tier.</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R499 premium is justified solely by delivering measurable profitability through unique, localized, and actionable market intelligence—the </w:t>
      </w:r>
      <w:r w:rsidRPr="00A42945">
        <w:rPr>
          <w:rFonts w:asciiTheme="minorHAnsi" w:hAnsiTheme="minorHAnsi"/>
          <w:b/>
          <w:bCs/>
          <w:color w:val="1F1F1F"/>
          <w:sz w:val="22"/>
          <w:szCs w:val="22"/>
        </w:rPr>
        <w:t>Advanced Analytics/Heatmaps</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strategy for ARPU growth requires contextual and data-driven upselling.</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platform must track high-activity Standard users (e.g., those with high sales volume or frequent checks of basic </w:t>
      </w:r>
      <w:r w:rsidRPr="00A42945">
        <w:rPr>
          <w:rFonts w:asciiTheme="minorHAnsi" w:hAnsiTheme="minorHAnsi"/>
          <w:color w:val="1F1F1F"/>
          <w:sz w:val="22"/>
          <w:szCs w:val="22"/>
        </w:rPr>
        <w:lastRenderedPageBreak/>
        <w:t>metrics) and prompt them with the superior, predictive capabilities of the Advanced Analytics dashboard precisely when their usage indicates a need for optimization.</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Furthermore, maximizing Vendor Lifetime Value (VLV) necessitates prioritizing the R499 cohort by providing dedicated expert consultation and personalized </w:t>
      </w:r>
      <w:proofErr w:type="spellStart"/>
      <w:r w:rsidRPr="00A42945">
        <w:rPr>
          <w:rFonts w:asciiTheme="minorHAnsi" w:hAnsiTheme="minorHAnsi"/>
          <w:color w:val="1F1F1F"/>
          <w:sz w:val="22"/>
          <w:szCs w:val="22"/>
        </w:rPr>
        <w:t>onboarding</w:t>
      </w:r>
      <w:proofErr w:type="spellEnd"/>
      <w:r w:rsidRPr="00A42945">
        <w:rPr>
          <w:rFonts w:asciiTheme="minorHAnsi" w:hAnsiTheme="minorHAnsi"/>
          <w:color w:val="1F1F1F"/>
          <w:sz w:val="22"/>
          <w:szCs w:val="22"/>
        </w:rPr>
        <w:t>. This premium experience immediately justifies the higher fee, accelerating the vendor’s realization of value and increasing long-term retention.</w:t>
      </w:r>
      <w:r w:rsidRPr="00A42945">
        <w:rPr>
          <w:rFonts w:asciiTheme="minorHAnsi" w:hAnsiTheme="minorHAnsi"/>
          <w:color w:val="444746"/>
          <w:sz w:val="14"/>
          <w:szCs w:val="14"/>
          <w:vertAlign w:val="superscript"/>
        </w:rPr>
        <w:t>1</w:t>
      </w:r>
    </w:p>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t>V. Critical Risk Modeling: Vendor Churn Mitigation and Lifetime Value (VLV)</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A. The SMB Volatility and Churn Risk</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most substantial financial risk is the inherent volatility of the SMB market, which struggles with budget sensitivity and high attrition, with annual churn rates for comparabl</w:t>
      </w:r>
      <w:r>
        <w:rPr>
          <w:rFonts w:asciiTheme="minorHAnsi" w:hAnsiTheme="minorHAnsi"/>
          <w:color w:val="1F1F1F"/>
          <w:sz w:val="22"/>
          <w:szCs w:val="22"/>
        </w:rPr>
        <w:t>e local services reaching 43%</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target monthly churn rate of </w:t>
      </w:r>
      <w:r>
        <w:rPr>
          <w:rFonts w:asciiTheme="minorHAnsi" w:hAnsiTheme="minorHAnsi"/>
          <w:b/>
          <w:bCs/>
          <w:color w:val="1F1F1F"/>
          <w:sz w:val="22"/>
          <w:szCs w:val="22"/>
        </w:rPr>
        <w:t>&lt;5</w:t>
      </w:r>
      <w:r w:rsidRPr="00A42945">
        <w:rPr>
          <w:rFonts w:asciiTheme="minorHAnsi" w:hAnsiTheme="minorHAnsi"/>
          <w:b/>
          <w:bCs/>
          <w:color w:val="1F1F1F"/>
          <w:sz w:val="22"/>
          <w:szCs w:val="22"/>
        </w:rPr>
        <w:t>%</w:t>
      </w:r>
      <w:r w:rsidRPr="00A42945">
        <w:rPr>
          <w:rFonts w:asciiTheme="minorHAnsi" w:hAnsiTheme="minorHAnsi"/>
          <w:color w:val="1F1F1F"/>
          <w:sz w:val="22"/>
          <w:szCs w:val="22"/>
        </w:rPr>
        <w:t xml:space="preserve">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is an ambitious goal, demanding performance below the typic</w:t>
      </w:r>
      <w:r>
        <w:rPr>
          <w:rFonts w:asciiTheme="minorHAnsi" w:hAnsiTheme="minorHAnsi"/>
          <w:color w:val="1F1F1F"/>
          <w:sz w:val="22"/>
          <w:szCs w:val="22"/>
        </w:rPr>
        <w:t>al SMB SaaS benchmark 3%-7%</w:t>
      </w:r>
      <w:r w:rsidRPr="00A42945">
        <w:rPr>
          <w:rFonts w:asciiTheme="minorHAnsi" w:hAnsiTheme="minorHAnsi"/>
          <w:color w:val="1F1F1F"/>
          <w:sz w:val="22"/>
          <w:szCs w:val="22"/>
        </w:rPr>
        <w:t xml:space="preserve"> monthly churn).</w:t>
      </w:r>
      <w:r w:rsidRPr="00A42945">
        <w:rPr>
          <w:rFonts w:asciiTheme="minorHAnsi" w:hAnsiTheme="minorHAnsi"/>
          <w:color w:val="444746"/>
          <w:sz w:val="14"/>
          <w:szCs w:val="14"/>
          <w:vertAlign w:val="superscript"/>
        </w:rPr>
        <w:t>5</w:t>
      </w:r>
      <w:r w:rsidRPr="00A42945">
        <w:rPr>
          <w:rFonts w:asciiTheme="minorHAnsi" w:hAnsiTheme="minorHAnsi"/>
          <w:color w:val="1F1F1F"/>
          <w:sz w:val="22"/>
          <w:szCs w:val="22"/>
        </w:rPr>
        <w:t xml:space="preserve"> Achieving this target is fundamental for ensuring financial stability and demonstrating to investors that the platform can structurally overcome market volatility.</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Retention Strategy Blueprint: Mandatory ROI Reporting</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The key mitigation strategy must be </w:t>
      </w:r>
      <w:proofErr w:type="spellStart"/>
      <w:r w:rsidRPr="00A42945">
        <w:rPr>
          <w:rFonts w:asciiTheme="minorHAnsi" w:hAnsiTheme="minorHAnsi"/>
          <w:color w:val="1F1F1F"/>
          <w:sz w:val="22"/>
          <w:szCs w:val="22"/>
        </w:rPr>
        <w:t>centered</w:t>
      </w:r>
      <w:proofErr w:type="spellEnd"/>
      <w:r w:rsidRPr="00A42945">
        <w:rPr>
          <w:rFonts w:asciiTheme="minorHAnsi" w:hAnsiTheme="minorHAnsi"/>
          <w:color w:val="1F1F1F"/>
          <w:sz w:val="22"/>
          <w:szCs w:val="22"/>
        </w:rPr>
        <w:t xml:space="preserve"> on quantifiable value delivery, directly addressing the common reasons for attrition: "High costs for limited results".</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The</w:t>
      </w:r>
      <w:proofErr w:type="gramEnd"/>
      <w:r w:rsidRPr="00A42945">
        <w:rPr>
          <w:rFonts w:asciiTheme="minorHAnsi" w:hAnsiTheme="minorHAnsi"/>
          <w:color w:val="1F1F1F"/>
          <w:sz w:val="22"/>
          <w:szCs w:val="22"/>
        </w:rPr>
        <w:t xml:space="preserve"> platform must institute </w:t>
      </w:r>
      <w:r w:rsidRPr="00A42945">
        <w:rPr>
          <w:rFonts w:asciiTheme="minorHAnsi" w:hAnsiTheme="minorHAnsi"/>
          <w:b/>
          <w:bCs/>
          <w:color w:val="1F1F1F"/>
          <w:sz w:val="22"/>
          <w:szCs w:val="22"/>
        </w:rPr>
        <w:t>mandatory, automated monthly ROI reports</w:t>
      </w:r>
      <w:r w:rsidRPr="00A42945">
        <w:rPr>
          <w:rFonts w:asciiTheme="minorHAnsi" w:hAnsiTheme="minorHAnsi"/>
          <w:color w:val="1F1F1F"/>
          <w:sz w:val="22"/>
          <w:szCs w:val="22"/>
        </w:rPr>
        <w:t xml:space="preserve"> for all paying vendors.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These reports serve as the core survival mechanism, translating the subscription fee into verifiable sales performance. For instance, the report must demonstrate that a R199 subscription enabled R3,000 in local sales, representing a </w:t>
      </w:r>
      <w:r w:rsidRPr="00A42945">
        <w:rPr>
          <w:rFonts w:asciiTheme="minorHAnsi" w:hAnsiTheme="minorHAnsi"/>
          <w:b/>
          <w:bCs/>
          <w:color w:val="1F1F1F"/>
          <w:sz w:val="22"/>
          <w:szCs w:val="22"/>
        </w:rPr>
        <w:t>$15\times$ return on investment</w:t>
      </w:r>
      <w:r w:rsidRPr="00A42945">
        <w:rPr>
          <w:rFonts w:asciiTheme="minorHAnsi" w:hAnsiTheme="minorHAnsi"/>
          <w:color w:val="1F1F1F"/>
          <w:sz w:val="22"/>
          <w:szCs w:val="22"/>
        </w:rPr>
        <w:t>.</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continuous, data-backed reinforcement validates the operational expenditure and helps vendors maintain the subscription during budget tightening periods.</w:t>
      </w:r>
      <w:r w:rsidRPr="00A42945">
        <w:rPr>
          <w:rFonts w:asciiTheme="minorHAnsi" w:hAnsiTheme="minorHAnsi"/>
          <w:color w:val="444746"/>
          <w:sz w:val="14"/>
          <w:szCs w:val="14"/>
          <w:vertAlign w:val="superscript"/>
        </w:rPr>
        <w:t>7</w:t>
      </w:r>
      <w:r w:rsidRPr="00A42945">
        <w:rPr>
          <w:rFonts w:asciiTheme="minorHAnsi" w:hAnsiTheme="minorHAnsi"/>
          <w:color w:val="1F1F1F"/>
          <w:sz w:val="22"/>
          <w:szCs w:val="22"/>
        </w:rPr>
        <w:t xml:space="preserve"> Proactive customer success is also essential, utilizing engagement metrics to identify vendors at high risk of passive churn (e.g., low login frequency) and triggering targeted outreach to re-engage them before cancellation occurs.</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C. Maximizing VLV and Net Negative Churn</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Vendor Lifetime Value (VLV) is maximized through both increased retention and increased ARPU.</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goal of achieving </w:t>
      </w:r>
      <w:r w:rsidRPr="00A42945">
        <w:rPr>
          <w:rFonts w:asciiTheme="minorHAnsi" w:hAnsiTheme="minorHAnsi"/>
          <w:b/>
          <w:bCs/>
          <w:color w:val="1F1F1F"/>
          <w:sz w:val="22"/>
          <w:szCs w:val="22"/>
        </w:rPr>
        <w:t>Net Negative Churn (NNC)</w:t>
      </w:r>
      <w:r w:rsidRPr="00A42945">
        <w:rPr>
          <w:rFonts w:asciiTheme="minorHAnsi" w:hAnsiTheme="minorHAnsi"/>
          <w:color w:val="1F1F1F"/>
          <w:sz w:val="22"/>
          <w:szCs w:val="22"/>
        </w:rPr>
        <w:t xml:space="preserve">—where expansion MRR from upsells exceeds revenue lost from churn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—is paramount for sustainable growth. Since the R</w:t>
      </w:r>
      <w:r>
        <w:rPr>
          <w:rFonts w:asciiTheme="minorHAnsi" w:hAnsiTheme="minorHAnsi"/>
          <w:color w:val="1F1F1F"/>
          <w:sz w:val="22"/>
          <w:szCs w:val="22"/>
        </w:rPr>
        <w:t>499 Pro Merchant generates 2.5</w:t>
      </w:r>
      <w:r w:rsidRPr="00A42945">
        <w:rPr>
          <w:rFonts w:asciiTheme="minorHAnsi" w:hAnsiTheme="minorHAnsi"/>
          <w:color w:val="1F1F1F"/>
          <w:sz w:val="22"/>
          <w:szCs w:val="22"/>
        </w:rPr>
        <w:t xml:space="preserve"> times the revenue of the R199 Standard Store, retention efforts must focus disproportionately on securing this cohort.</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 xml:space="preserve">The ROI report, particularly for the R499 Pro Merchant, functions as a critical financial asset. By generating verifiable evidence of profit enhancement, ReachHub significantly lowers the </w:t>
      </w:r>
      <w:r w:rsidRPr="00A42945">
        <w:rPr>
          <w:rFonts w:asciiTheme="minorHAnsi" w:hAnsiTheme="minorHAnsi"/>
          <w:i/>
          <w:iCs/>
          <w:color w:val="1F1F1F"/>
          <w:sz w:val="22"/>
          <w:szCs w:val="22"/>
        </w:rPr>
        <w:t>perceived</w:t>
      </w:r>
      <w:r w:rsidRPr="00A42945">
        <w:rPr>
          <w:rFonts w:asciiTheme="minorHAnsi" w:hAnsiTheme="minorHAnsi"/>
          <w:color w:val="1F1F1F"/>
          <w:sz w:val="22"/>
          <w:szCs w:val="22"/>
        </w:rPr>
        <w:t xml:space="preserve"> switching cost for the vendor. When faced with competitor offerings, the vendor must weigh the alternative against the platform's proven, data-backed success, making the service stickier and indispensable. The quality and clarity of this ROI mechanism should be prioritized as a core financial feature, as it directly governs the most volatile variable: churn.</w:t>
      </w:r>
    </w:p>
    <w:p w:rsidR="00A42945" w:rsidRPr="00A42945" w:rsidRDefault="00A42945" w:rsidP="00A42945">
      <w:pPr>
        <w:pStyle w:val="Heading2"/>
        <w:spacing w:before="0" w:beforeAutospacing="0" w:after="120" w:afterAutospacing="0"/>
        <w:rPr>
          <w:rFonts w:asciiTheme="minorHAnsi" w:hAnsiTheme="minorHAnsi"/>
        </w:rPr>
      </w:pPr>
      <w:r w:rsidRPr="00A42945">
        <w:rPr>
          <w:rFonts w:asciiTheme="minorHAnsi" w:hAnsiTheme="minorHAnsi"/>
          <w:color w:val="1F1F1F"/>
        </w:rPr>
        <w:t>VI. Strategic Scaling Roadmap: Phased Transition to a Hybrid Revenue Model</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lastRenderedPageBreak/>
        <w:t>The transition from the pure subscription MVP to a hybrid monetization model is the critical inflection point for long-term scalability. This transition must be meticulously sequenced to maintain vendor trust and VLV.</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A. Sequencing Rationale for Hybrid Monetization</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initial exclusion of the Transaction Commission (Take Rate) simplifies early economics.</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The recommended future rate is an </w:t>
      </w:r>
      <w:r>
        <w:rPr>
          <w:rFonts w:asciiTheme="minorHAnsi" w:hAnsiTheme="minorHAnsi"/>
          <w:b/>
          <w:bCs/>
          <w:color w:val="1F1F1F"/>
          <w:sz w:val="22"/>
          <w:szCs w:val="22"/>
        </w:rPr>
        <w:t>8%</w:t>
      </w:r>
      <w:r w:rsidRPr="00A42945">
        <w:rPr>
          <w:rFonts w:asciiTheme="minorHAnsi" w:hAnsiTheme="minorHAnsi"/>
          <w:b/>
          <w:bCs/>
          <w:color w:val="1F1F1F"/>
          <w:sz w:val="22"/>
          <w:szCs w:val="22"/>
        </w:rPr>
        <w:t xml:space="preserve"> flat commission</w:t>
      </w:r>
      <w:r w:rsidRPr="00A42945">
        <w:rPr>
          <w:rFonts w:asciiTheme="minorHAnsi" w:hAnsiTheme="minorHAnsi"/>
          <w:color w:val="1F1F1F"/>
          <w:sz w:val="22"/>
          <w:szCs w:val="22"/>
        </w:rPr>
        <w:t xml:space="preserve"> on Gross Merchandise Volume (GMV).</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rate is strategically conservative, positioning the platform as a supportive partner rather than penalizing vendor success.</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The implementation of this commission must be synchronized with a substantial increase in platform value to avoid vendor friction, which is why the transition is governed by dual, risk-mitigating triggers.</w:t>
      </w:r>
      <w:r w:rsidRPr="00A42945">
        <w:rPr>
          <w:rFonts w:asciiTheme="minorHAnsi" w:hAnsiTheme="minorHAnsi"/>
          <w:color w:val="444746"/>
          <w:sz w:val="14"/>
          <w:szCs w:val="14"/>
          <w:vertAlign w:val="superscript"/>
        </w:rPr>
        <w:t>1</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B. Dual Trigger Analysis for the 8% Take Rate Introduction</w:t>
      </w:r>
    </w:p>
    <w:p w:rsidR="00A42945" w:rsidRPr="00A42945" w:rsidRDefault="00A42945" w:rsidP="00A42945">
      <w:pPr>
        <w:pStyle w:val="NormalWeb"/>
        <w:spacing w:before="0" w:beforeAutospacing="0" w:after="120" w:afterAutospacing="0"/>
        <w:rPr>
          <w:rFonts w:asciiTheme="minorHAnsi" w:hAnsiTheme="minorHAnsi"/>
        </w:rPr>
      </w:pPr>
      <w:r w:rsidRPr="00A42945">
        <w:rPr>
          <w:rFonts w:asciiTheme="minorHAnsi" w:hAnsiTheme="minorHAnsi"/>
          <w:color w:val="1F1F1F"/>
          <w:sz w:val="22"/>
          <w:szCs w:val="22"/>
        </w:rPr>
        <w:t>The analysis defines two conditions that must be met before implementing the Take Rate:</w:t>
      </w:r>
    </w:p>
    <w:p w:rsidR="00A42945" w:rsidRPr="00A42945" w:rsidRDefault="00A42945" w:rsidP="00A42945">
      <w:pPr>
        <w:pStyle w:val="NormalWeb"/>
        <w:numPr>
          <w:ilvl w:val="0"/>
          <w:numId w:val="2"/>
        </w:numPr>
        <w:spacing w:before="0" w:beforeAutospacing="0" w:after="0" w:afterAutospacing="0"/>
        <w:ind w:left="480"/>
        <w:textAlignment w:val="baseline"/>
        <w:rPr>
          <w:rFonts w:asciiTheme="minorHAnsi" w:hAnsiTheme="minorHAnsi" w:cs="Arial"/>
          <w:color w:val="000000"/>
          <w:sz w:val="22"/>
          <w:szCs w:val="22"/>
        </w:rPr>
      </w:pPr>
      <w:r w:rsidRPr="00A42945">
        <w:rPr>
          <w:rFonts w:asciiTheme="minorHAnsi" w:hAnsiTheme="minorHAnsi" w:cs="Arial"/>
          <w:b/>
          <w:bCs/>
          <w:color w:val="1F1F1F"/>
          <w:sz w:val="22"/>
          <w:szCs w:val="22"/>
        </w:rPr>
        <w:t>Trigger A: Integrated Logistics Maturity (Core Trigger):</w:t>
      </w:r>
      <w:r w:rsidRPr="00A42945">
        <w:rPr>
          <w:rFonts w:asciiTheme="minorHAnsi" w:hAnsiTheme="minorHAnsi" w:cs="Arial"/>
          <w:color w:val="1F1F1F"/>
          <w:sz w:val="22"/>
          <w:szCs w:val="22"/>
        </w:rPr>
        <w:t xml:space="preserve"> The commission should be universally introduced only upon the launch of an integrated </w:t>
      </w:r>
      <w:r w:rsidRPr="00A42945">
        <w:rPr>
          <w:rFonts w:asciiTheme="minorHAnsi" w:hAnsiTheme="minorHAnsi" w:cs="Arial"/>
          <w:b/>
          <w:bCs/>
          <w:color w:val="1F1F1F"/>
          <w:sz w:val="22"/>
          <w:szCs w:val="22"/>
        </w:rPr>
        <w:t>Delivery/Logistics feature</w:t>
      </w:r>
      <w:r w:rsidRPr="00A42945">
        <w:rPr>
          <w:rFonts w:asciiTheme="minorHAnsi" w:hAnsiTheme="minorHAnsi" w:cs="Arial"/>
          <w:color w:val="1F1F1F"/>
          <w:sz w:val="22"/>
          <w:szCs w:val="22"/>
        </w:rPr>
        <w:t>.</w:t>
      </w:r>
      <w:r w:rsidRPr="00A42945">
        <w:rPr>
          <w:rFonts w:asciiTheme="minorHAnsi" w:hAnsiTheme="minorHAnsi" w:cs="Arial"/>
          <w:color w:val="444746"/>
          <w:sz w:val="14"/>
          <w:szCs w:val="14"/>
          <w:vertAlign w:val="superscript"/>
        </w:rPr>
        <w:t>1</w:t>
      </w:r>
      <w:r w:rsidRPr="00A42945">
        <w:rPr>
          <w:rFonts w:asciiTheme="minorHAnsi" w:hAnsiTheme="minorHAnsi" w:cs="Arial"/>
          <w:color w:val="1F1F1F"/>
          <w:sz w:val="22"/>
          <w:szCs w:val="22"/>
        </w:rPr>
        <w:t xml:space="preserve"> The fee is justified because the platform is now providing a substantial operational value-add (</w:t>
      </w:r>
      <w:proofErr w:type="spellStart"/>
      <w:r w:rsidRPr="00A42945">
        <w:rPr>
          <w:rFonts w:asciiTheme="minorHAnsi" w:hAnsiTheme="minorHAnsi" w:cs="Arial"/>
          <w:color w:val="1F1F1F"/>
          <w:sz w:val="22"/>
          <w:szCs w:val="22"/>
        </w:rPr>
        <w:t>fulfillment</w:t>
      </w:r>
      <w:proofErr w:type="spellEnd"/>
      <w:r w:rsidRPr="00A42945">
        <w:rPr>
          <w:rFonts w:asciiTheme="minorHAnsi" w:hAnsiTheme="minorHAnsi" w:cs="Arial"/>
          <w:color w:val="1F1F1F"/>
          <w:sz w:val="22"/>
          <w:szCs w:val="22"/>
        </w:rPr>
        <w:t>, reduced logistical complexity, and customer service), moving beyond simple listing and order management.</w:t>
      </w:r>
      <w:r w:rsidRPr="00A42945">
        <w:rPr>
          <w:rFonts w:asciiTheme="minorHAnsi" w:hAnsiTheme="minorHAnsi" w:cs="Arial"/>
          <w:color w:val="444746"/>
          <w:sz w:val="14"/>
          <w:szCs w:val="14"/>
          <w:vertAlign w:val="superscript"/>
        </w:rPr>
        <w:t>1</w:t>
      </w:r>
    </w:p>
    <w:p w:rsidR="00A42945" w:rsidRPr="00A42945" w:rsidRDefault="00A42945" w:rsidP="00A42945">
      <w:pPr>
        <w:pStyle w:val="NormalWeb"/>
        <w:numPr>
          <w:ilvl w:val="0"/>
          <w:numId w:val="2"/>
        </w:numPr>
        <w:spacing w:before="0" w:beforeAutospacing="0" w:after="120" w:afterAutospacing="0"/>
        <w:ind w:left="480"/>
        <w:textAlignment w:val="baseline"/>
        <w:rPr>
          <w:rFonts w:asciiTheme="minorHAnsi" w:hAnsiTheme="minorHAnsi" w:cs="Arial"/>
          <w:color w:val="000000"/>
          <w:sz w:val="22"/>
          <w:szCs w:val="22"/>
        </w:rPr>
      </w:pPr>
      <w:r w:rsidRPr="00A42945">
        <w:rPr>
          <w:rFonts w:asciiTheme="minorHAnsi" w:hAnsiTheme="minorHAnsi" w:cs="Arial"/>
          <w:b/>
          <w:bCs/>
          <w:color w:val="1F1F1F"/>
          <w:sz w:val="22"/>
          <w:szCs w:val="22"/>
        </w:rPr>
        <w:t>Trigger B: Performance-Based Threshold (Success Justification):</w:t>
      </w:r>
      <w:r w:rsidRPr="00A42945">
        <w:rPr>
          <w:rFonts w:asciiTheme="minorHAnsi" w:hAnsiTheme="minorHAnsi" w:cs="Arial"/>
          <w:color w:val="1F1F1F"/>
          <w:sz w:val="22"/>
          <w:szCs w:val="22"/>
        </w:rPr>
        <w:t xml:space="preserve"> To reward successful vendors and facilitate their scale, a volume-based threshold is introduced earlier. This trigger is calculated to ensure the commission liability sustainably </w:t>
      </w:r>
      <w:r w:rsidRPr="00A42945">
        <w:rPr>
          <w:rFonts w:asciiTheme="minorHAnsi" w:hAnsiTheme="minorHAnsi" w:cs="Arial"/>
          <w:b/>
          <w:bCs/>
          <w:color w:val="1F1F1F"/>
          <w:sz w:val="22"/>
          <w:szCs w:val="22"/>
        </w:rPr>
        <w:t>exceeds</w:t>
      </w:r>
      <w:r w:rsidRPr="00A42945">
        <w:rPr>
          <w:rFonts w:asciiTheme="minorHAnsi" w:hAnsiTheme="minorHAnsi" w:cs="Arial"/>
          <w:color w:val="1F1F1F"/>
          <w:sz w:val="22"/>
          <w:szCs w:val="22"/>
        </w:rPr>
        <w:t xml:space="preserve"> the fixed R499 Pro Merchant fee.</w:t>
      </w:r>
      <w:r w:rsidRPr="00A42945">
        <w:rPr>
          <w:rFonts w:asciiTheme="minorHAnsi" w:hAnsiTheme="minorHAnsi" w:cs="Arial"/>
          <w:color w:val="444746"/>
          <w:sz w:val="14"/>
          <w:szCs w:val="14"/>
          <w:vertAlign w:val="superscript"/>
        </w:rPr>
        <w:t>1</w:t>
      </w:r>
      <w:r>
        <w:rPr>
          <w:rFonts w:asciiTheme="minorHAnsi" w:hAnsiTheme="minorHAnsi" w:cs="Arial"/>
          <w:color w:val="1F1F1F"/>
          <w:sz w:val="22"/>
          <w:szCs w:val="22"/>
        </w:rPr>
        <w:t xml:space="preserve"> The threshold is: R499 / 0.08</w:t>
      </w:r>
      <w:r w:rsidRPr="00A42945">
        <w:rPr>
          <w:rFonts w:asciiTheme="minorHAnsi" w:hAnsiTheme="minorHAnsi" w:cs="Arial"/>
          <w:color w:val="1F1F1F"/>
          <w:sz w:val="22"/>
          <w:szCs w:val="22"/>
        </w:rPr>
        <w:t xml:space="preserve"> = </w:t>
      </w:r>
      <w:r w:rsidRPr="00A42945">
        <w:rPr>
          <w:rFonts w:asciiTheme="minorHAnsi" w:hAnsiTheme="minorHAnsi" w:cs="Arial"/>
          <w:b/>
          <w:bCs/>
          <w:color w:val="1F1F1F"/>
          <w:sz w:val="22"/>
          <w:szCs w:val="22"/>
        </w:rPr>
        <w:t>R6,237.50 GMV per month</w:t>
      </w:r>
      <w:r w:rsidRPr="00A42945">
        <w:rPr>
          <w:rFonts w:asciiTheme="minorHAnsi" w:hAnsiTheme="minorHAnsi" w:cs="Arial"/>
          <w:color w:val="1F1F1F"/>
          <w:sz w:val="22"/>
          <w:szCs w:val="22"/>
        </w:rPr>
        <w:t>.</w:t>
      </w:r>
      <w:r w:rsidRPr="00A42945">
        <w:rPr>
          <w:rFonts w:asciiTheme="minorHAnsi" w:hAnsiTheme="minorHAnsi" w:cs="Arial"/>
          <w:color w:val="444746"/>
          <w:sz w:val="14"/>
          <w:szCs w:val="14"/>
          <w:vertAlign w:val="superscript"/>
        </w:rPr>
        <w:t>1</w:t>
      </w:r>
      <w:r w:rsidRPr="00A42945">
        <w:rPr>
          <w:rFonts w:asciiTheme="minorHAnsi" w:hAnsiTheme="minorHAnsi" w:cs="Arial"/>
          <w:color w:val="1F1F1F"/>
          <w:sz w:val="22"/>
          <w:szCs w:val="22"/>
        </w:rPr>
        <w:t xml:space="preserve"> Once a vendor consistently achieves this volume, they transition from the fixed cost structure to a performance-based hybrid model ($8\%$ Take Rate), confirming that the fee scales progressively with their verifiable success on the platform.</w:t>
      </w:r>
      <w:r w:rsidRPr="00A42945">
        <w:rPr>
          <w:rFonts w:asciiTheme="minorHAnsi" w:hAnsiTheme="minorHAnsi" w:cs="Arial"/>
          <w:color w:val="444746"/>
          <w:sz w:val="14"/>
          <w:szCs w:val="14"/>
          <w:vertAlign w:val="superscript"/>
        </w:rPr>
        <w:t>1</w:t>
      </w:r>
    </w:p>
    <w:p w:rsidR="00A42945" w:rsidRPr="00A42945" w:rsidRDefault="00A42945" w:rsidP="00A42945">
      <w:pPr>
        <w:pStyle w:val="Heading3"/>
        <w:spacing w:before="240" w:beforeAutospacing="0" w:after="120" w:afterAutospacing="0"/>
        <w:rPr>
          <w:rFonts w:asciiTheme="minorHAnsi" w:hAnsiTheme="minorHAnsi"/>
        </w:rPr>
      </w:pPr>
      <w:r w:rsidRPr="00A42945">
        <w:rPr>
          <w:rFonts w:asciiTheme="minorHAnsi" w:hAnsiTheme="minorHAnsi"/>
          <w:color w:val="1F1F1F"/>
          <w:sz w:val="28"/>
          <w:szCs w:val="28"/>
        </w:rPr>
        <w:t>C. Future Revenue Diversification: High-Margin Add-Ons</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color w:val="1F1F1F"/>
          <w:sz w:val="22"/>
          <w:szCs w:val="22"/>
        </w:rPr>
        <w:t>Post-MVP, high-margin, low-complexity secondary revenue streams will be introduced:</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b/>
          <w:bCs/>
          <w:color w:val="1F1F1F"/>
          <w:sz w:val="22"/>
          <w:szCs w:val="22"/>
        </w:rPr>
        <w:t>Premium Listings &amp; Ad Boosts:</w:t>
      </w:r>
      <w:r w:rsidRPr="00A42945">
        <w:rPr>
          <w:rFonts w:asciiTheme="minorHAnsi" w:hAnsiTheme="minorHAnsi"/>
          <w:color w:val="1F1F1F"/>
          <w:sz w:val="22"/>
          <w:szCs w:val="22"/>
        </w:rPr>
        <w:t xml:space="preserve"> These Pay-Per-Impression (PPC) or fixed monthly add-ons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should only be introduced once the platform reaches a critical mass of </w:t>
      </w:r>
      <w:r>
        <w:rPr>
          <w:rFonts w:asciiTheme="minorHAnsi" w:hAnsiTheme="minorHAnsi"/>
          <w:b/>
          <w:bCs/>
          <w:color w:val="1F1F1F"/>
          <w:sz w:val="22"/>
          <w:szCs w:val="22"/>
        </w:rPr>
        <w:t xml:space="preserve">100+ </w:t>
      </w:r>
      <w:r w:rsidRPr="00A42945">
        <w:rPr>
          <w:rFonts w:asciiTheme="minorHAnsi" w:hAnsiTheme="minorHAnsi"/>
          <w:b/>
          <w:bCs/>
          <w:color w:val="1F1F1F"/>
          <w:sz w:val="22"/>
          <w:szCs w:val="22"/>
        </w:rPr>
        <w:t>active, paying Vendors</w:t>
      </w:r>
      <w:r w:rsidRPr="00A42945">
        <w:rPr>
          <w:rFonts w:asciiTheme="minorHAnsi" w:hAnsiTheme="minorHAnsi"/>
          <w:color w:val="1F1F1F"/>
          <w:sz w:val="22"/>
          <w:szCs w:val="22"/>
        </w:rPr>
        <w:t xml:space="preserve"> in a region.</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This network density is necessary to drive internal competition for premium ad placement and guarantee sufficient consumer traffic to provide a meaningful ROI for the vendors purchasing the ad space.</w:t>
      </w:r>
      <w:r w:rsidRPr="00A42945">
        <w:rPr>
          <w:rFonts w:asciiTheme="minorHAnsi" w:hAnsiTheme="minorHAnsi"/>
          <w:color w:val="444746"/>
          <w:sz w:val="14"/>
          <w:szCs w:val="14"/>
          <w:vertAlign w:val="superscript"/>
        </w:rPr>
        <w:t>1</w:t>
      </w:r>
    </w:p>
    <w:p w:rsidR="00A42945" w:rsidRPr="00A42945" w:rsidRDefault="00A42945" w:rsidP="00A42945">
      <w:pPr>
        <w:pStyle w:val="NormalWeb"/>
        <w:spacing w:before="0" w:beforeAutospacing="0" w:after="240" w:afterAutospacing="0"/>
        <w:rPr>
          <w:rFonts w:asciiTheme="minorHAnsi" w:hAnsiTheme="minorHAnsi"/>
        </w:rPr>
      </w:pPr>
      <w:r w:rsidRPr="00A42945">
        <w:rPr>
          <w:rFonts w:asciiTheme="minorHAnsi" w:hAnsiTheme="minorHAnsi"/>
          <w:b/>
          <w:bCs/>
          <w:color w:val="1F1F1F"/>
          <w:sz w:val="22"/>
          <w:szCs w:val="22"/>
        </w:rPr>
        <w:t>Consumer Loyalty Program:</w:t>
      </w:r>
      <w:r w:rsidRPr="00A42945">
        <w:rPr>
          <w:rFonts w:asciiTheme="minorHAnsi" w:hAnsiTheme="minorHAnsi"/>
          <w:color w:val="1F1F1F"/>
          <w:sz w:val="22"/>
          <w:szCs w:val="22"/>
        </w:rPr>
        <w:t xml:space="preserve"> This demand-side subscription (estimated R59/month) </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will monetize consumers seeking priority access or exclusive benefits. The feature should be delayed until the platform reaches </w:t>
      </w:r>
      <w:r w:rsidRPr="00A42945">
        <w:rPr>
          <w:rFonts w:asciiTheme="minorHAnsi" w:hAnsiTheme="minorHAnsi"/>
          <w:b/>
          <w:bCs/>
          <w:color w:val="1F1F1F"/>
          <w:sz w:val="22"/>
          <w:szCs w:val="22"/>
        </w:rPr>
        <w:t>500+ active Consumers</w:t>
      </w:r>
      <w:r w:rsidRPr="00A42945">
        <w:rPr>
          <w:rFonts w:asciiTheme="minorHAnsi" w:hAnsiTheme="minorHAnsi"/>
          <w:color w:val="1F1F1F"/>
          <w:sz w:val="22"/>
          <w:szCs w:val="22"/>
        </w:rPr>
        <w:t xml:space="preserve"> who demonstrate high repeat order frequency.</w:t>
      </w:r>
      <w:r w:rsidRPr="00A42945">
        <w:rPr>
          <w:rFonts w:asciiTheme="minorHAnsi" w:hAnsiTheme="minorHAnsi"/>
          <w:color w:val="444746"/>
          <w:sz w:val="14"/>
          <w:szCs w:val="14"/>
          <w:vertAlign w:val="superscript"/>
        </w:rPr>
        <w:t>1</w:t>
      </w:r>
      <w:r w:rsidRPr="00A42945">
        <w:rPr>
          <w:rFonts w:asciiTheme="minorHAnsi" w:hAnsiTheme="minorHAnsi"/>
          <w:color w:val="1F1F1F"/>
          <w:sz w:val="22"/>
          <w:szCs w:val="22"/>
        </w:rPr>
        <w:t xml:space="preserve"> </w:t>
      </w:r>
      <w:proofErr w:type="gramStart"/>
      <w:r w:rsidRPr="00A42945">
        <w:rPr>
          <w:rFonts w:asciiTheme="minorHAnsi" w:hAnsiTheme="minorHAnsi"/>
          <w:color w:val="1F1F1F"/>
          <w:sz w:val="22"/>
          <w:szCs w:val="22"/>
        </w:rPr>
        <w:t>This</w:t>
      </w:r>
      <w:proofErr w:type="gramEnd"/>
      <w:r w:rsidRPr="00A42945">
        <w:rPr>
          <w:rFonts w:asciiTheme="minorHAnsi" w:hAnsiTheme="minorHAnsi"/>
          <w:color w:val="1F1F1F"/>
          <w:sz w:val="22"/>
          <w:szCs w:val="22"/>
        </w:rPr>
        <w:t xml:space="preserve"> sequencing ensures the network effect is robust enough to justify the consumer fee and prevents early consumer churn.</w:t>
      </w:r>
    </w:p>
    <w:p w:rsidR="00A42945" w:rsidRPr="00A42945" w:rsidRDefault="00A42945" w:rsidP="00A42945">
      <w:pPr>
        <w:pStyle w:val="Heading3"/>
        <w:spacing w:before="0" w:beforeAutospacing="0" w:after="120" w:afterAutospacing="0"/>
        <w:rPr>
          <w:rFonts w:asciiTheme="minorHAnsi" w:hAnsiTheme="minorHAnsi"/>
        </w:rPr>
      </w:pPr>
      <w:r w:rsidRPr="00A42945">
        <w:rPr>
          <w:rFonts w:asciiTheme="minorHAnsi" w:hAnsiTheme="minorHAnsi"/>
          <w:color w:val="1F1F1F"/>
          <w:sz w:val="28"/>
          <w:szCs w:val="28"/>
        </w:rPr>
        <w:t>D. Sustained Subscription Value in a Hybrid Model</w:t>
      </w:r>
    </w:p>
    <w:p w:rsidR="00A42945" w:rsidRPr="00A42945" w:rsidRDefault="00A42945" w:rsidP="00A42945">
      <w:pPr>
        <w:pStyle w:val="NormalWeb"/>
        <w:spacing w:before="0" w:beforeAutospacing="0" w:after="255" w:afterAutospacing="0"/>
        <w:rPr>
          <w:rFonts w:asciiTheme="minorHAnsi" w:hAnsiTheme="minorHAnsi"/>
        </w:rPr>
      </w:pPr>
      <w:r w:rsidRPr="00A42945">
        <w:rPr>
          <w:rFonts w:asciiTheme="minorHAnsi" w:hAnsiTheme="minorHAnsi"/>
          <w:color w:val="1F1F1F"/>
          <w:sz w:val="22"/>
          <w:szCs w:val="22"/>
        </w:rPr>
        <w:t>As the platform scales into the hybrid structure, it is critical that the R499 Pro Tier retains its indispensable value. The true long-term NRR maximization stems from ensuring high-volume vendors maintain their fixed R499 subscription (for Advanced Analytics and Priority Support) even after their transact</w:t>
      </w:r>
      <w:r>
        <w:rPr>
          <w:rFonts w:asciiTheme="minorHAnsi" w:hAnsiTheme="minorHAnsi"/>
          <w:color w:val="1F1F1F"/>
          <w:sz w:val="22"/>
          <w:szCs w:val="22"/>
        </w:rPr>
        <w:t>ions shift to the variable 8%</w:t>
      </w:r>
      <w:r w:rsidRPr="00A42945">
        <w:rPr>
          <w:rFonts w:asciiTheme="minorHAnsi" w:hAnsiTheme="minorHAnsi"/>
          <w:color w:val="1F1F1F"/>
          <w:sz w:val="22"/>
          <w:szCs w:val="22"/>
        </w:rPr>
        <w:t xml:space="preserve"> commission model. This combination of fixed </w:t>
      </w:r>
      <w:r w:rsidRPr="00A42945">
        <w:rPr>
          <w:rFonts w:asciiTheme="minorHAnsi" w:hAnsiTheme="minorHAnsi"/>
          <w:color w:val="1F1F1F"/>
          <w:sz w:val="22"/>
          <w:szCs w:val="22"/>
        </w:rPr>
        <w:lastRenderedPageBreak/>
        <w:t>optimization revenue and variable performance revenue demonstrates maximum VLV and provides financial stability by cushioning against volatility inherent in transactional fees.</w:t>
      </w:r>
      <w:r w:rsidRPr="00A42945">
        <w:rPr>
          <w:rFonts w:asciiTheme="minorHAnsi" w:hAnsiTheme="minorHAnsi"/>
          <w:color w:val="444746"/>
          <w:sz w:val="14"/>
          <w:szCs w:val="14"/>
          <w:vertAlign w:val="superscript"/>
        </w:rPr>
        <w:t>1</w:t>
      </w:r>
    </w:p>
    <w:p w:rsidR="00A42945" w:rsidRPr="00A42945" w:rsidRDefault="00A42945" w:rsidP="00A42945">
      <w:pPr>
        <w:pStyle w:val="Heading4"/>
        <w:spacing w:before="0" w:after="255"/>
        <w:rPr>
          <w:rFonts w:asciiTheme="minorHAnsi" w:hAnsiTheme="minorHAnsi"/>
        </w:rPr>
      </w:pPr>
      <w:r w:rsidRPr="00A42945">
        <w:rPr>
          <w:rFonts w:asciiTheme="minorHAnsi" w:hAnsiTheme="minorHAnsi"/>
          <w:color w:val="000000"/>
        </w:rPr>
        <w:t>Works cited</w:t>
      </w:r>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ReachHub MVP Monetization Blueprint.docx</w:t>
      </w:r>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How To Calculate (And Improve) Your SaaS Gross Margin - </w:t>
      </w:r>
      <w:proofErr w:type="spellStart"/>
      <w:r w:rsidRPr="00A42945">
        <w:rPr>
          <w:rFonts w:asciiTheme="minorHAnsi" w:hAnsiTheme="minorHAnsi" w:cs="Arial"/>
          <w:color w:val="000000"/>
        </w:rPr>
        <w:t>CloudZero</w:t>
      </w:r>
      <w:proofErr w:type="spellEnd"/>
      <w:r w:rsidRPr="00A42945">
        <w:rPr>
          <w:rFonts w:asciiTheme="minorHAnsi" w:hAnsiTheme="minorHAnsi" w:cs="Arial"/>
          <w:color w:val="000000"/>
        </w:rPr>
        <w:t xml:space="preserve">, accessed on December 9, 2025, </w:t>
      </w:r>
      <w:hyperlink r:id="rId6" w:history="1">
        <w:r w:rsidRPr="00A42945">
          <w:rPr>
            <w:rStyle w:val="Hyperlink"/>
            <w:rFonts w:asciiTheme="minorHAnsi" w:hAnsiTheme="minorHAnsi" w:cs="Arial"/>
            <w:color w:val="0000EE"/>
          </w:rPr>
          <w:t>https://www.cloudzero.com/blog/saas-gross-margin/</w:t>
        </w:r>
      </w:hyperlink>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SaaS gross margin explained - Stripe, accessed on December 9, 2025, </w:t>
      </w:r>
      <w:hyperlink r:id="rId7" w:history="1">
        <w:r w:rsidRPr="00A42945">
          <w:rPr>
            <w:rStyle w:val="Hyperlink"/>
            <w:rFonts w:asciiTheme="minorHAnsi" w:hAnsiTheme="minorHAnsi" w:cs="Arial"/>
            <w:color w:val="0000EE"/>
          </w:rPr>
          <w:t>https://stripe.com/resources/more/saas-gross-margin-explained-what-it-is-and-why-it-is-important</w:t>
        </w:r>
      </w:hyperlink>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B2B SaaS Funnel Conversion Benchmarks - What's a Good Rate at Every Stage? - </w:t>
      </w:r>
      <w:proofErr w:type="spellStart"/>
      <w:r w:rsidRPr="00A42945">
        <w:rPr>
          <w:rFonts w:asciiTheme="minorHAnsi" w:hAnsiTheme="minorHAnsi" w:cs="Arial"/>
          <w:color w:val="000000"/>
        </w:rPr>
        <w:t>UXCam</w:t>
      </w:r>
      <w:proofErr w:type="spellEnd"/>
      <w:r w:rsidRPr="00A42945">
        <w:rPr>
          <w:rFonts w:asciiTheme="minorHAnsi" w:hAnsiTheme="minorHAnsi" w:cs="Arial"/>
          <w:color w:val="000000"/>
        </w:rPr>
        <w:t xml:space="preserve">, accessed on December 9, 2025, </w:t>
      </w:r>
      <w:hyperlink r:id="rId8" w:history="1">
        <w:r w:rsidRPr="00A42945">
          <w:rPr>
            <w:rStyle w:val="Hyperlink"/>
            <w:rFonts w:asciiTheme="minorHAnsi" w:hAnsiTheme="minorHAnsi" w:cs="Arial"/>
            <w:color w:val="0000EE"/>
          </w:rPr>
          <w:t>https://uxcam.com/blog/b2b-saas-funnel-conversion-benchmarks/</w:t>
        </w:r>
      </w:hyperlink>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Average SaaS Churn Rate: 2025 Benchmarks &amp; Insights - </w:t>
      </w:r>
      <w:proofErr w:type="spellStart"/>
      <w:r w:rsidRPr="00A42945">
        <w:rPr>
          <w:rFonts w:asciiTheme="minorHAnsi" w:hAnsiTheme="minorHAnsi" w:cs="Arial"/>
          <w:color w:val="000000"/>
        </w:rPr>
        <w:t>HubiFi</w:t>
      </w:r>
      <w:proofErr w:type="spellEnd"/>
      <w:r w:rsidRPr="00A42945">
        <w:rPr>
          <w:rFonts w:asciiTheme="minorHAnsi" w:hAnsiTheme="minorHAnsi" w:cs="Arial"/>
          <w:color w:val="000000"/>
        </w:rPr>
        <w:t xml:space="preserve">, accessed on December 9, 2025, </w:t>
      </w:r>
      <w:hyperlink r:id="rId9" w:history="1">
        <w:r w:rsidRPr="00A42945">
          <w:rPr>
            <w:rStyle w:val="Hyperlink"/>
            <w:rFonts w:asciiTheme="minorHAnsi" w:hAnsiTheme="minorHAnsi" w:cs="Arial"/>
            <w:color w:val="0000EE"/>
          </w:rPr>
          <w:t>https://www.h</w:t>
        </w:r>
        <w:bookmarkStart w:id="0" w:name="_GoBack"/>
        <w:bookmarkEnd w:id="0"/>
        <w:r w:rsidRPr="00A42945">
          <w:rPr>
            <w:rStyle w:val="Hyperlink"/>
            <w:rFonts w:asciiTheme="minorHAnsi" w:hAnsiTheme="minorHAnsi" w:cs="Arial"/>
            <w:color w:val="0000EE"/>
          </w:rPr>
          <w:t>ubifi.com/blog/calculate-saas-churn-rate</w:t>
        </w:r>
      </w:hyperlink>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What is a Good Monthly Churn Rate? Industry Benchmarks - </w:t>
      </w:r>
      <w:proofErr w:type="spellStart"/>
      <w:r w:rsidRPr="00A42945">
        <w:rPr>
          <w:rFonts w:asciiTheme="minorHAnsi" w:hAnsiTheme="minorHAnsi" w:cs="Arial"/>
          <w:color w:val="000000"/>
        </w:rPr>
        <w:t>ScaleMath</w:t>
      </w:r>
      <w:proofErr w:type="spellEnd"/>
      <w:r w:rsidRPr="00A42945">
        <w:rPr>
          <w:rFonts w:asciiTheme="minorHAnsi" w:hAnsiTheme="minorHAnsi" w:cs="Arial"/>
          <w:color w:val="000000"/>
        </w:rPr>
        <w:t xml:space="preserve">, accessed on December 9, 2025, </w:t>
      </w:r>
      <w:hyperlink r:id="rId10" w:history="1">
        <w:r w:rsidRPr="00A42945">
          <w:rPr>
            <w:rStyle w:val="Hyperlink"/>
            <w:rFonts w:asciiTheme="minorHAnsi" w:hAnsiTheme="minorHAnsi" w:cs="Arial"/>
            <w:color w:val="0000EE"/>
          </w:rPr>
          <w:t>https://scalemath.com/blog/what-is-a-good-monthly-churn-rate/</w:t>
        </w:r>
      </w:hyperlink>
    </w:p>
    <w:p w:rsidR="00A42945" w:rsidRPr="00A42945" w:rsidRDefault="00A42945" w:rsidP="00A42945">
      <w:pPr>
        <w:pStyle w:val="NormalWeb"/>
        <w:numPr>
          <w:ilvl w:val="0"/>
          <w:numId w:val="3"/>
        </w:numPr>
        <w:spacing w:before="0" w:beforeAutospacing="0" w:after="0" w:afterAutospacing="0"/>
        <w:ind w:left="600"/>
        <w:textAlignment w:val="baseline"/>
        <w:rPr>
          <w:rFonts w:asciiTheme="minorHAnsi" w:hAnsiTheme="minorHAnsi" w:cs="Arial"/>
          <w:color w:val="000000"/>
          <w:sz w:val="22"/>
          <w:szCs w:val="22"/>
        </w:rPr>
      </w:pPr>
      <w:r w:rsidRPr="00A42945">
        <w:rPr>
          <w:rFonts w:asciiTheme="minorHAnsi" w:hAnsiTheme="minorHAnsi" w:cs="Arial"/>
          <w:color w:val="000000"/>
        </w:rPr>
        <w:t xml:space="preserve">Reduce SMB Customer Churn: 5 SaaS Retention Strategies - </w:t>
      </w:r>
      <w:proofErr w:type="spellStart"/>
      <w:r w:rsidRPr="00A42945">
        <w:rPr>
          <w:rFonts w:asciiTheme="minorHAnsi" w:hAnsiTheme="minorHAnsi" w:cs="Arial"/>
          <w:color w:val="000000"/>
        </w:rPr>
        <w:t>Forecastio</w:t>
      </w:r>
      <w:proofErr w:type="spellEnd"/>
      <w:r w:rsidRPr="00A42945">
        <w:rPr>
          <w:rFonts w:asciiTheme="minorHAnsi" w:hAnsiTheme="minorHAnsi" w:cs="Arial"/>
          <w:color w:val="000000"/>
        </w:rPr>
        <w:t xml:space="preserve">, accessed on December 9, 2025, </w:t>
      </w:r>
      <w:hyperlink r:id="rId11" w:history="1">
        <w:r w:rsidRPr="00A42945">
          <w:rPr>
            <w:rStyle w:val="Hyperlink"/>
            <w:rFonts w:asciiTheme="minorHAnsi" w:hAnsiTheme="minorHAnsi" w:cs="Arial"/>
            <w:color w:val="0000EE"/>
          </w:rPr>
          <w:t>https://forecastio.ai/blog/strategies-for-reducing-smb-churn-in-saas</w:t>
        </w:r>
      </w:hyperlink>
    </w:p>
    <w:p w:rsidR="00271C0B" w:rsidRPr="00A42945" w:rsidRDefault="00A42945" w:rsidP="00A42945"/>
    <w:sectPr w:rsidR="00271C0B" w:rsidRPr="00A42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501DD"/>
    <w:multiLevelType w:val="multilevel"/>
    <w:tmpl w:val="6ED0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E952B12"/>
    <w:multiLevelType w:val="multilevel"/>
    <w:tmpl w:val="FFFA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E160B4"/>
    <w:multiLevelType w:val="multilevel"/>
    <w:tmpl w:val="3B66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945"/>
    <w:rsid w:val="001161AC"/>
    <w:rsid w:val="00A42945"/>
    <w:rsid w:val="00EB0C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29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4294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4294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next w:val="Normal"/>
    <w:link w:val="Heading4Char"/>
    <w:uiPriority w:val="9"/>
    <w:semiHidden/>
    <w:unhideWhenUsed/>
    <w:qFormat/>
    <w:rsid w:val="00A429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45"/>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42945"/>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42945"/>
    <w:rPr>
      <w:rFonts w:ascii="Times New Roman" w:eastAsia="Times New Roman" w:hAnsi="Times New Roman" w:cs="Times New Roman"/>
      <w:b/>
      <w:bCs/>
      <w:sz w:val="27"/>
      <w:szCs w:val="27"/>
      <w:lang w:eastAsia="en-ZA"/>
    </w:rPr>
  </w:style>
  <w:style w:type="paragraph" w:styleId="NormalWeb">
    <w:name w:val="Normal (Web)"/>
    <w:basedOn w:val="Normal"/>
    <w:uiPriority w:val="99"/>
    <w:unhideWhenUsed/>
    <w:rsid w:val="00A4294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ath-inline">
    <w:name w:val="math-inline"/>
    <w:basedOn w:val="DefaultParagraphFont"/>
    <w:rsid w:val="00A42945"/>
  </w:style>
  <w:style w:type="character" w:styleId="Strong">
    <w:name w:val="Strong"/>
    <w:basedOn w:val="DefaultParagraphFont"/>
    <w:uiPriority w:val="22"/>
    <w:qFormat/>
    <w:rsid w:val="00A42945"/>
    <w:rPr>
      <w:b/>
      <w:bCs/>
    </w:rPr>
  </w:style>
  <w:style w:type="character" w:customStyle="1" w:styleId="Heading4Char">
    <w:name w:val="Heading 4 Char"/>
    <w:basedOn w:val="DefaultParagraphFont"/>
    <w:link w:val="Heading4"/>
    <w:uiPriority w:val="9"/>
    <w:semiHidden/>
    <w:rsid w:val="00A42945"/>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A4294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29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4294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4294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next w:val="Normal"/>
    <w:link w:val="Heading4Char"/>
    <w:uiPriority w:val="9"/>
    <w:semiHidden/>
    <w:unhideWhenUsed/>
    <w:qFormat/>
    <w:rsid w:val="00A429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945"/>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42945"/>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42945"/>
    <w:rPr>
      <w:rFonts w:ascii="Times New Roman" w:eastAsia="Times New Roman" w:hAnsi="Times New Roman" w:cs="Times New Roman"/>
      <w:b/>
      <w:bCs/>
      <w:sz w:val="27"/>
      <w:szCs w:val="27"/>
      <w:lang w:eastAsia="en-ZA"/>
    </w:rPr>
  </w:style>
  <w:style w:type="paragraph" w:styleId="NormalWeb">
    <w:name w:val="Normal (Web)"/>
    <w:basedOn w:val="Normal"/>
    <w:uiPriority w:val="99"/>
    <w:unhideWhenUsed/>
    <w:rsid w:val="00A4294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ath-inline">
    <w:name w:val="math-inline"/>
    <w:basedOn w:val="DefaultParagraphFont"/>
    <w:rsid w:val="00A42945"/>
  </w:style>
  <w:style w:type="character" w:styleId="Strong">
    <w:name w:val="Strong"/>
    <w:basedOn w:val="DefaultParagraphFont"/>
    <w:uiPriority w:val="22"/>
    <w:qFormat/>
    <w:rsid w:val="00A42945"/>
    <w:rPr>
      <w:b/>
      <w:bCs/>
    </w:rPr>
  </w:style>
  <w:style w:type="character" w:customStyle="1" w:styleId="Heading4Char">
    <w:name w:val="Heading 4 Char"/>
    <w:basedOn w:val="DefaultParagraphFont"/>
    <w:link w:val="Heading4"/>
    <w:uiPriority w:val="9"/>
    <w:semiHidden/>
    <w:rsid w:val="00A42945"/>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A429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695344">
      <w:bodyDiv w:val="1"/>
      <w:marLeft w:val="0"/>
      <w:marRight w:val="0"/>
      <w:marTop w:val="0"/>
      <w:marBottom w:val="0"/>
      <w:divBdr>
        <w:top w:val="none" w:sz="0" w:space="0" w:color="auto"/>
        <w:left w:val="none" w:sz="0" w:space="0" w:color="auto"/>
        <w:bottom w:val="none" w:sz="0" w:space="0" w:color="auto"/>
        <w:right w:val="none" w:sz="0" w:space="0" w:color="auto"/>
      </w:divBdr>
    </w:div>
    <w:div w:id="121431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xcam.com/blog/b2b-saas-funnel-conversion-benchmark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stripe.com/resources/more/saas-gross-margin-explained-what-it-is-and-why-it-is-importa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zero.com/blog/saas-gross-margin/" TargetMode="External"/><Relationship Id="rId11" Type="http://schemas.openxmlformats.org/officeDocument/2006/relationships/hyperlink" Target="https://forecastio.ai/blog/strategies-for-reducing-smb-churn-in-saas" TargetMode="External"/><Relationship Id="rId5" Type="http://schemas.openxmlformats.org/officeDocument/2006/relationships/webSettings" Target="webSettings.xml"/><Relationship Id="rId10" Type="http://schemas.openxmlformats.org/officeDocument/2006/relationships/hyperlink" Target="https://scalemath.com/blog/what-is-a-good-monthly-churn-rate/" TargetMode="External"/><Relationship Id="rId4" Type="http://schemas.openxmlformats.org/officeDocument/2006/relationships/settings" Target="settings.xml"/><Relationship Id="rId9" Type="http://schemas.openxmlformats.org/officeDocument/2006/relationships/hyperlink" Target="https://www.hubifi.com/blog/calculate-saas-churn-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3022</Words>
  <Characters>17230</Characters>
  <Application>Microsoft Office Word</Application>
  <DocSecurity>0</DocSecurity>
  <Lines>143</Lines>
  <Paragraphs>40</Paragraphs>
  <ScaleCrop>false</ScaleCrop>
  <Company/>
  <LinksUpToDate>false</LinksUpToDate>
  <CharactersWithSpaces>20212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Siya</cp:lastModifiedBy>
  <cp:revision>1</cp:revision>
  <dcterms:created xsi:type="dcterms:W3CDTF">2025-12-09T11:23:00Z</dcterms:created>
  <dcterms:modified xsi:type="dcterms:W3CDTF">2025-12-09T11:27:00Z</dcterms:modified>
</cp:coreProperties>
</file>