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A3D" w:rsidRPr="00941A3D" w:rsidRDefault="00941A3D" w:rsidP="00941A3D">
      <w:pPr>
        <w:spacing w:before="100" w:beforeAutospacing="1" w:after="12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</w:pPr>
      <w:proofErr w:type="spellStart"/>
      <w:r w:rsidRPr="00941A3D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>ReachHub</w:t>
      </w:r>
      <w:proofErr w:type="spellEnd"/>
      <w:r w:rsidRPr="00941A3D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MVP Revenue Framework: Subscription-Led Vendor Monetization</w:t>
      </w:r>
    </w:p>
    <w:p w:rsidR="00941A3D" w:rsidRPr="00941A3D" w:rsidRDefault="00941A3D" w:rsidP="00941A3D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Core Mandate (MVP Phase):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Establish a predic</w:t>
      </w:r>
      <w:bookmarkStart w:id="0" w:name="_GoBack"/>
      <w:bookmarkEnd w:id="0"/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table, high-margin revenue base (targeting 90%+ Gross Margin) exclusively through recurring Vendor Subscriptions, deferring complex transactional fees until scale is proven.</w:t>
      </w:r>
    </w:p>
    <w:p w:rsidR="00941A3D" w:rsidRPr="00941A3D" w:rsidRDefault="00941A3D" w:rsidP="00941A3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1. Core Revenue Model: Vendor Subscription</w:t>
      </w:r>
    </w:p>
    <w:p w:rsidR="00941A3D" w:rsidRPr="00941A3D" w:rsidRDefault="00941A3D" w:rsidP="00941A3D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The MVP relies on a tiered Product-Led Growth (PLG) structure, using feature gating to drive conversion from the zero-risk trial to paid tiers based on the Vendor's necessity for growth and optimization.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125"/>
        <w:gridCol w:w="3156"/>
        <w:gridCol w:w="2399"/>
      </w:tblGrid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Subscription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Monthly Fee (</w:t>
            </w:r>
            <w:proofErr w:type="spellStart"/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Rands</w:t>
            </w:r>
            <w:proofErr w:type="spellEnd"/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Primary Gating Mechanism &amp; Conversion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Value Proposition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Tier 1: Basic Access (Trial)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R0 (Pilot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Max 10 Product Listings;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Basic Order Status. </w:t>
            </w:r>
            <w:r w:rsidRPr="00941A3D">
              <w:rPr>
                <w:rFonts w:eastAsia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Trigger: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Attempting to upload the 11th product, or after 30 days.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Zero-risk entry; rapid </w:t>
            </w: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Time to First Value (TTFV)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to validate market demand.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Tier 2: Standard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R199 (Recommended)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Full </w:t>
            </w:r>
            <w:proofErr w:type="spellStart"/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Catalog</w:t>
            </w:r>
            <w:proofErr w:type="spellEnd"/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Access;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Standard Order Management; Basic Customer Communication. </w:t>
            </w:r>
            <w:r w:rsidRPr="00941A3D">
              <w:rPr>
                <w:rFonts w:eastAsia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Trigger: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Necessity of Scale and Operational 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Full digital presence; professional operations; ability to scale inventory and sales.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Tier 3: Pro 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R499 (Recommended)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Advanced Analytics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(Localized </w:t>
            </w:r>
            <w:proofErr w:type="spellStart"/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Heatmaps</w:t>
            </w:r>
            <w:proofErr w:type="spellEnd"/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); Priority Support; In-App Promotions access. </w:t>
            </w:r>
            <w:r w:rsidRPr="00941A3D">
              <w:rPr>
                <w:rFonts w:eastAsia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Trigger: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Necessity of Optimization and Risk Reduction.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Data-driven growth; superior risk management; maximized profitability and ROI.</w:t>
            </w:r>
          </w:p>
        </w:tc>
      </w:tr>
    </w:tbl>
    <w:p w:rsidR="00941A3D" w:rsidRPr="00941A3D" w:rsidRDefault="00941A3D" w:rsidP="00941A3D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Strategic Conversion Mechanism: The 10-Item Paywall</w:t>
      </w:r>
    </w:p>
    <w:p w:rsidR="00941A3D" w:rsidRPr="00941A3D" w:rsidRDefault="00941A3D" w:rsidP="00941A3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Rationale: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The 10-item limit for the R0 tier provides sufficient validation for a new Vendor but becomes fundamentally unsustainable for serious commercial activity, acting as a non-negotiable friction point that forces conversion to the R199 Standard Store.</w:t>
      </w:r>
    </w:p>
    <w:p w:rsidR="00941A3D" w:rsidRPr="00941A3D" w:rsidRDefault="00941A3D" w:rsidP="00941A3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Goal: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Target a 10%–12% conversion rate from R0 to paid tiers.</w:t>
      </w:r>
    </w:p>
    <w:p w:rsidR="00941A3D" w:rsidRPr="00941A3D" w:rsidRDefault="00941A3D" w:rsidP="00941A3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lastRenderedPageBreak/>
        <w:t>2. Key Financial Metrics (KPIs) &amp; Retention Focus</w:t>
      </w:r>
    </w:p>
    <w:p w:rsidR="00941A3D" w:rsidRPr="00941A3D" w:rsidRDefault="00941A3D" w:rsidP="00941A3D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The success of the subscription model is measured by the quality and retention of the paying Vendor base, directly addressing the high churn risk prevalent in the SMB sector.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1796"/>
        <w:gridCol w:w="5432"/>
      </w:tblGrid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MVP Pilot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Strategic Focus &amp; Mitigation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Gross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90%+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Maintain by strictly excluding complex variable costs (e.g., integrated delivery costs).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Monthly Recurring Revenue (MRR)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Maximize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Core measure of financial predictability and stability.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Churn Rate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&lt;5%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(Ambitious Goal)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CRITICAL FOCUS: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Mitigation requires mandatory, automated ROI reports that explicitly justify the R199/R499 fee through sales performance.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Average Revenue Per User (ARPU)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R300+</w:t>
            </w: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(Target)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Maximize through successful upsells to the R499 Pro Merchant Tier.</w:t>
            </w:r>
          </w:p>
        </w:tc>
      </w:tr>
      <w:tr w:rsidR="00941A3D" w:rsidRPr="00941A3D" w:rsidTr="00941A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Acquisition Cost (VAC)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Minimize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1A3D" w:rsidRPr="00941A3D" w:rsidRDefault="00941A3D" w:rsidP="00941A3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41A3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Leverage the R0 Trial (Product-Led Growth) to keep acquisition costs low.</w:t>
            </w:r>
          </w:p>
        </w:tc>
      </w:tr>
    </w:tbl>
    <w:p w:rsidR="00941A3D" w:rsidRPr="00941A3D" w:rsidRDefault="00941A3D" w:rsidP="00941A3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3. Strategic Roadmap for Scaling and Diversification (Post-MVP)</w:t>
      </w:r>
    </w:p>
    <w:p w:rsidR="00941A3D" w:rsidRPr="00941A3D" w:rsidRDefault="00941A3D" w:rsidP="00941A3D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Future revenue streams will only be introduced once the platform reaches specific thresholds, ensuring the transition to a hybrid model is perceived as a partnership, not a penalty.</w:t>
      </w:r>
    </w:p>
    <w:p w:rsidR="00941A3D" w:rsidRPr="00941A3D" w:rsidRDefault="00941A3D" w:rsidP="00941A3D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3.1 Transition to Hybrid Monetization (Transaction Commission)</w:t>
      </w:r>
    </w:p>
    <w:p w:rsidR="00941A3D" w:rsidRPr="00941A3D" w:rsidRDefault="00941A3D" w:rsidP="00941A3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Mechanism: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Introduce an </w:t>
      </w: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8% Flat Commission (Take Rate)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on Gross Merchandise Volume (GMV).</w:t>
      </w:r>
    </w:p>
    <w:p w:rsidR="00941A3D" w:rsidRPr="00941A3D" w:rsidRDefault="00941A3D" w:rsidP="00941A3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Optimal Trigger: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The commission is introduced when one of two conditions is met:</w:t>
      </w:r>
    </w:p>
    <w:p w:rsidR="00941A3D" w:rsidRPr="00941A3D" w:rsidRDefault="00941A3D" w:rsidP="00941A3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Integrated Logistics Maturity: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When </w:t>
      </w:r>
      <w:proofErr w:type="spellStart"/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ReachHub</w:t>
      </w:r>
      <w:proofErr w:type="spellEnd"/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launches its own integrated Delivery/Logistics service, providing significant value-add.</w:t>
      </w:r>
    </w:p>
    <w:p w:rsidR="00941A3D" w:rsidRPr="00941A3D" w:rsidRDefault="00941A3D" w:rsidP="00941A3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Performance-Based Threshold: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When a Vendor's projected monthly commission liability sustainably </w:t>
      </w: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exceeds their R499 Pro Subscription fee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(i.e., when they hit </w:t>
      </w: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~R6,237.50 GMV/month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>), transitioning them to a performance-based model.</w:t>
      </w:r>
    </w:p>
    <w:p w:rsidR="00941A3D" w:rsidRPr="00941A3D" w:rsidRDefault="00941A3D" w:rsidP="00941A3D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3.2 High-Margin Add-Ons (Advertising)</w:t>
      </w:r>
    </w:p>
    <w:p w:rsidR="00941A3D" w:rsidRPr="00941A3D" w:rsidRDefault="00941A3D" w:rsidP="00941A3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lastRenderedPageBreak/>
        <w:t>Mechanism: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Pay-Per-Impression (PPC) or small fixed monthly fees for Premium Listings and Ad Boosts.</w:t>
      </w:r>
    </w:p>
    <w:p w:rsidR="00941A3D" w:rsidRPr="00941A3D" w:rsidRDefault="00941A3D" w:rsidP="00941A3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Strategic Trigger: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Platform reaches a critical mass of </w:t>
      </w: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100+ active, paying Vendors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in a region to ensure competition and meaningful consumer traffic.</w:t>
      </w:r>
    </w:p>
    <w:p w:rsidR="00941A3D" w:rsidRPr="00941A3D" w:rsidRDefault="00941A3D" w:rsidP="00941A3D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7"/>
          <w:szCs w:val="27"/>
          <w:lang w:eastAsia="en-ZA"/>
        </w:rPr>
        <w:t>3.3 Consumer Loyalty Program (Demand-Side Revenue)</w:t>
      </w:r>
    </w:p>
    <w:p w:rsidR="00941A3D" w:rsidRPr="00941A3D" w:rsidRDefault="00941A3D" w:rsidP="00941A3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Mechanism: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Monthly Consumer Subscription (e.g., R59/month) for benefits like waived delivery or exclusive deals.</w:t>
      </w:r>
    </w:p>
    <w:p w:rsidR="00941A3D" w:rsidRPr="00941A3D" w:rsidRDefault="00941A3D" w:rsidP="00941A3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Strategic Trigger: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Platform reaches </w:t>
      </w:r>
      <w:r w:rsidRPr="00941A3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5,000+ active Consumers</w:t>
      </w:r>
      <w:r w:rsidRPr="00941A3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and demonstrates high repeat order frequency.</w:t>
      </w:r>
    </w:p>
    <w:p w:rsidR="00271C0B" w:rsidRPr="00941A3D" w:rsidRDefault="00941A3D"/>
    <w:sectPr w:rsidR="00271C0B" w:rsidRPr="0094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E6ACE"/>
    <w:multiLevelType w:val="multilevel"/>
    <w:tmpl w:val="827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664B3"/>
    <w:multiLevelType w:val="multilevel"/>
    <w:tmpl w:val="040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C381D"/>
    <w:multiLevelType w:val="multilevel"/>
    <w:tmpl w:val="C39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B14307"/>
    <w:multiLevelType w:val="multilevel"/>
    <w:tmpl w:val="4D5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A3D"/>
    <w:rsid w:val="001161AC"/>
    <w:rsid w:val="00941A3D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41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941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3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41A3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941A3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94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41A3D"/>
    <w:rPr>
      <w:b/>
      <w:bCs/>
    </w:rPr>
  </w:style>
  <w:style w:type="character" w:styleId="Emphasis">
    <w:name w:val="Emphasis"/>
    <w:basedOn w:val="DefaultParagraphFont"/>
    <w:uiPriority w:val="20"/>
    <w:qFormat/>
    <w:rsid w:val="00941A3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41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941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3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41A3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941A3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unhideWhenUsed/>
    <w:rsid w:val="0094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41A3D"/>
    <w:rPr>
      <w:b/>
      <w:bCs/>
    </w:rPr>
  </w:style>
  <w:style w:type="character" w:styleId="Emphasis">
    <w:name w:val="Emphasis"/>
    <w:basedOn w:val="DefaultParagraphFont"/>
    <w:uiPriority w:val="20"/>
    <w:qFormat/>
    <w:rsid w:val="0094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1</cp:revision>
  <dcterms:created xsi:type="dcterms:W3CDTF">2025-11-28T14:34:00Z</dcterms:created>
  <dcterms:modified xsi:type="dcterms:W3CDTF">2025-11-28T16:50:00Z</dcterms:modified>
</cp:coreProperties>
</file>