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4AF4" w:rsidRPr="00DF4AF4" w:rsidRDefault="00DF4AF4" w:rsidP="00DF4AF4">
      <w:pPr>
        <w:spacing w:before="100" w:beforeAutospacing="1" w:after="120" w:line="240" w:lineRule="auto"/>
        <w:outlineLvl w:val="0"/>
        <w:rPr>
          <w:rFonts w:eastAsia="Times New Roman" w:cs="Times New Roman"/>
          <w:b/>
          <w:bCs/>
          <w:color w:val="1F1F1F"/>
          <w:kern w:val="36"/>
          <w:sz w:val="48"/>
          <w:szCs w:val="48"/>
          <w:lang w:eastAsia="en-ZA"/>
        </w:rPr>
      </w:pPr>
      <w:r w:rsidRPr="00DF4AF4">
        <w:rPr>
          <w:rFonts w:eastAsia="Times New Roman" w:cs="Times New Roman"/>
          <w:b/>
          <w:bCs/>
          <w:color w:val="1F1F1F"/>
          <w:kern w:val="36"/>
          <w:sz w:val="48"/>
          <w:szCs w:val="48"/>
          <w:lang w:eastAsia="en-ZA"/>
        </w:rPr>
        <w:t>Monetization Strategy Document: Subscription-First Vendor Model</w:t>
      </w:r>
    </w:p>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 xml:space="preserve">Project: </w:t>
      </w:r>
      <w:r>
        <w:rPr>
          <w:rFonts w:eastAsia="Times New Roman" w:cs="Times New Roman"/>
          <w:color w:val="1F1F1F"/>
          <w:sz w:val="24"/>
          <w:szCs w:val="24"/>
          <w:lang w:eastAsia="en-ZA"/>
        </w:rPr>
        <w:t>Reach Hub App</w:t>
      </w:r>
    </w:p>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Phase: Minimum Viable Product (MVP) &amp; Phase 1 Scaling</w:t>
      </w:r>
    </w:p>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Core Mandate (MVP): Establish predictable, high-margin Monthly Recurring Revenue (MRR) exclusively through Vendor Subscriptions.</w:t>
      </w:r>
    </w:p>
    <w:p w:rsidR="00DF4AF4" w:rsidRPr="00DF4AF4" w:rsidRDefault="00DF4AF4" w:rsidP="00DF4AF4">
      <w:pPr>
        <w:spacing w:before="100" w:beforeAutospacing="1" w:after="120" w:line="240" w:lineRule="auto"/>
        <w:outlineLvl w:val="1"/>
        <w:rPr>
          <w:rFonts w:eastAsia="Times New Roman" w:cs="Times New Roman"/>
          <w:b/>
          <w:bCs/>
          <w:color w:val="1F1F1F"/>
          <w:sz w:val="36"/>
          <w:szCs w:val="36"/>
          <w:lang w:eastAsia="en-ZA"/>
        </w:rPr>
      </w:pPr>
      <w:r w:rsidRPr="00DF4AF4">
        <w:rPr>
          <w:rFonts w:eastAsia="Times New Roman" w:cs="Times New Roman"/>
          <w:b/>
          <w:bCs/>
          <w:color w:val="1F1F1F"/>
          <w:sz w:val="36"/>
          <w:szCs w:val="36"/>
          <w:lang w:eastAsia="en-ZA"/>
        </w:rPr>
        <w:t>1. MVP Core Monetization Model: Tiered Vendor Subscription</w:t>
      </w:r>
    </w:p>
    <w:p w:rsidR="00DF4AF4" w:rsidRPr="00DF4AF4" w:rsidRDefault="00DF4AF4" w:rsidP="00DF4AF4">
      <w:pPr>
        <w:spacing w:before="100" w:beforeAutospacing="1" w:after="0"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 xml:space="preserve">Given the MVP's focus on basic order processing, marketing, and a limited initial base of </w:t>
      </w:r>
      <w:r w:rsidRPr="00DF4AF4">
        <w:rPr>
          <w:rFonts w:eastAsia="Times New Roman" w:cs="Times New Roman"/>
          <w:b/>
          <w:bCs/>
          <w:color w:val="1F1F1F"/>
          <w:sz w:val="24"/>
          <w:szCs w:val="24"/>
          <w:bdr w:val="none" w:sz="0" w:space="0" w:color="auto" w:frame="1"/>
          <w:lang w:eastAsia="en-ZA"/>
        </w:rPr>
        <w:t>up to 20 vendors</w:t>
      </w:r>
      <w:r w:rsidRPr="00DF4AF4">
        <w:rPr>
          <w:rFonts w:eastAsia="Times New Roman" w:cs="Times New Roman"/>
          <w:color w:val="1F1F1F"/>
          <w:sz w:val="24"/>
          <w:szCs w:val="24"/>
          <w:lang w:eastAsia="en-ZA"/>
        </w:rPr>
        <w:t>, a pure subscription model is the most effective choice. It guarantees financial predictability and ensures an extremely high gross margin (as there are no variable costs associated with delivery or transactional fees).</w:t>
      </w:r>
    </w:p>
    <w:p w:rsidR="00DF4AF4" w:rsidRPr="00DF4AF4" w:rsidRDefault="00DF4AF4" w:rsidP="00DF4AF4">
      <w:pPr>
        <w:spacing w:before="100" w:beforeAutospacing="1" w:after="120" w:line="240" w:lineRule="auto"/>
        <w:outlineLvl w:val="2"/>
        <w:rPr>
          <w:rFonts w:eastAsia="Times New Roman" w:cs="Times New Roman"/>
          <w:b/>
          <w:bCs/>
          <w:color w:val="1F1F1F"/>
          <w:sz w:val="27"/>
          <w:szCs w:val="27"/>
          <w:lang w:eastAsia="en-ZA"/>
        </w:rPr>
      </w:pPr>
      <w:r w:rsidRPr="00DF4AF4">
        <w:rPr>
          <w:rFonts w:eastAsia="Times New Roman" w:cs="Times New Roman"/>
          <w:b/>
          <w:bCs/>
          <w:color w:val="1F1F1F"/>
          <w:sz w:val="27"/>
          <w:szCs w:val="27"/>
          <w:lang w:eastAsia="en-ZA"/>
        </w:rPr>
        <w:t>1.1 Subscription Tier Structure (Phase 1)</w:t>
      </w:r>
    </w:p>
    <w:p w:rsidR="00DF4AF4" w:rsidRPr="00DF4AF4" w:rsidRDefault="00DF4AF4" w:rsidP="00DF4AF4">
      <w:pPr>
        <w:spacing w:before="100" w:beforeAutospacing="1" w:after="0"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 xml:space="preserve">The pricing model is designed as a Product-Led Growth (PLG) engine, using </w:t>
      </w:r>
      <w:r w:rsidRPr="00DF4AF4">
        <w:rPr>
          <w:rFonts w:eastAsia="Times New Roman" w:cs="Times New Roman"/>
          <w:b/>
          <w:bCs/>
          <w:color w:val="1F1F1F"/>
          <w:sz w:val="24"/>
          <w:szCs w:val="24"/>
          <w:bdr w:val="none" w:sz="0" w:space="0" w:color="auto" w:frame="1"/>
          <w:lang w:eastAsia="en-ZA"/>
        </w:rPr>
        <w:t>feature gating</w:t>
      </w:r>
      <w:r w:rsidRPr="00DF4AF4">
        <w:rPr>
          <w:rFonts w:eastAsia="Times New Roman" w:cs="Times New Roman"/>
          <w:color w:val="1F1F1F"/>
          <w:sz w:val="24"/>
          <w:szCs w:val="24"/>
          <w:lang w:eastAsia="en-ZA"/>
        </w:rPr>
        <w:t xml:space="preserve"> to drive vendors from a free entry point to the paid tiers as they gain success and require scale.</w:t>
      </w:r>
    </w:p>
    <w:tbl>
      <w:tblPr>
        <w:tblW w:w="0" w:type="auto"/>
        <w:tblCellSpacing w:w="15" w:type="dxa"/>
        <w:tblCellMar>
          <w:left w:w="0" w:type="dxa"/>
          <w:right w:w="0" w:type="dxa"/>
        </w:tblCellMar>
        <w:tblLook w:val="04A0" w:firstRow="1" w:lastRow="0" w:firstColumn="1" w:lastColumn="0" w:noHBand="0" w:noVBand="1"/>
      </w:tblPr>
      <w:tblGrid>
        <w:gridCol w:w="1518"/>
        <w:gridCol w:w="1731"/>
        <w:gridCol w:w="2948"/>
        <w:gridCol w:w="3279"/>
      </w:tblGrid>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Tier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Monthly Fee (Estimated)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Key Features / Value Proposition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Conversion Trigger (The Paywall)</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Basic Access (Trial)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R0</w:t>
            </w:r>
            <w:r w:rsidRPr="00DF4AF4">
              <w:rPr>
                <w:rFonts w:eastAsia="Times New Roman" w:cs="Times New Roman"/>
                <w:color w:val="1F1F1F"/>
                <w:sz w:val="24"/>
                <w:szCs w:val="24"/>
                <w:lang w:eastAsia="en-ZA"/>
              </w:rPr>
              <w:t xml:space="preserve"> (e.g., 30-Day 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Storefront setup, basic order processing, marketing tools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Maximum 10 Product Listings.</w:t>
            </w:r>
            <w:r w:rsidRPr="00DF4AF4">
              <w:rPr>
                <w:rFonts w:eastAsia="Times New Roman" w:cs="Times New Roman"/>
                <w:color w:val="1F1F1F"/>
                <w:sz w:val="24"/>
                <w:szCs w:val="24"/>
                <w:lang w:eastAsia="en-ZA"/>
              </w:rPr>
              <w:t xml:space="preserve"> The moment a vendor needs to list their full inventory (i.e., tries to upload the 11th product), they must convert.</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Standard 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R199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Unlimited Product Listings.</w:t>
            </w:r>
            <w:r w:rsidRPr="00DF4AF4">
              <w:rPr>
                <w:rFonts w:eastAsia="Times New Roman" w:cs="Times New Roman"/>
                <w:color w:val="1F1F1F"/>
                <w:sz w:val="24"/>
                <w:szCs w:val="24"/>
                <w:lang w:eastAsia="en-ZA"/>
              </w:rPr>
              <w:t xml:space="preserve"> Full </w:t>
            </w:r>
            <w:proofErr w:type="spellStart"/>
            <w:r w:rsidRPr="00DF4AF4">
              <w:rPr>
                <w:rFonts w:eastAsia="Times New Roman" w:cs="Times New Roman"/>
                <w:color w:val="1F1F1F"/>
                <w:sz w:val="24"/>
                <w:szCs w:val="24"/>
                <w:lang w:eastAsia="en-ZA"/>
              </w:rPr>
              <w:t>catalog</w:t>
            </w:r>
            <w:proofErr w:type="spellEnd"/>
            <w:r w:rsidRPr="00DF4AF4">
              <w:rPr>
                <w:rFonts w:eastAsia="Times New Roman" w:cs="Times New Roman"/>
                <w:color w:val="1F1F1F"/>
                <w:sz w:val="24"/>
                <w:szCs w:val="24"/>
                <w:lang w:eastAsia="en-ZA"/>
              </w:rPr>
              <w:t xml:space="preserve"> access, automated order notifications, standard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 xml:space="preserve">Necessity of </w:t>
            </w:r>
            <w:r w:rsidRPr="00DF4AF4">
              <w:rPr>
                <w:rFonts w:eastAsia="Times New Roman" w:cs="Times New Roman"/>
                <w:b/>
                <w:bCs/>
                <w:color w:val="1F1F1F"/>
                <w:sz w:val="24"/>
                <w:szCs w:val="24"/>
                <w:bdr w:val="none" w:sz="0" w:space="0" w:color="auto" w:frame="1"/>
                <w:lang w:eastAsia="en-ZA"/>
              </w:rPr>
              <w:t>Scale</w:t>
            </w:r>
            <w:r w:rsidRPr="00DF4AF4">
              <w:rPr>
                <w:rFonts w:eastAsia="Times New Roman" w:cs="Times New Roman"/>
                <w:color w:val="1F1F1F"/>
                <w:sz w:val="24"/>
                <w:szCs w:val="24"/>
                <w:lang w:eastAsia="en-ZA"/>
              </w:rPr>
              <w:t xml:space="preserve"> and </w:t>
            </w:r>
            <w:r w:rsidRPr="00DF4AF4">
              <w:rPr>
                <w:rFonts w:eastAsia="Times New Roman" w:cs="Times New Roman"/>
                <w:b/>
                <w:bCs/>
                <w:color w:val="1F1F1F"/>
                <w:sz w:val="24"/>
                <w:szCs w:val="24"/>
                <w:bdr w:val="none" w:sz="0" w:space="0" w:color="auto" w:frame="1"/>
                <w:lang w:eastAsia="en-ZA"/>
              </w:rPr>
              <w:t>Operational Efficiency</w:t>
            </w:r>
            <w:r w:rsidRPr="00DF4AF4">
              <w:rPr>
                <w:rFonts w:eastAsia="Times New Roman" w:cs="Times New Roman"/>
                <w:color w:val="1F1F1F"/>
                <w:sz w:val="24"/>
                <w:szCs w:val="24"/>
                <w:lang w:eastAsia="en-ZA"/>
              </w:rPr>
              <w:t>. This is the core operating tier for a serious business.</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Pro Merchant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R499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Advanced Analytics</w:t>
            </w:r>
            <w:r w:rsidRPr="00DF4AF4">
              <w:rPr>
                <w:rFonts w:eastAsia="Times New Roman" w:cs="Times New Roman"/>
                <w:color w:val="1F1F1F"/>
                <w:sz w:val="24"/>
                <w:szCs w:val="24"/>
                <w:lang w:eastAsia="en-ZA"/>
              </w:rPr>
              <w:t xml:space="preserve"> (e.g., Local Demand </w:t>
            </w:r>
            <w:proofErr w:type="spellStart"/>
            <w:r w:rsidRPr="00DF4AF4">
              <w:rPr>
                <w:rFonts w:eastAsia="Times New Roman" w:cs="Times New Roman"/>
                <w:color w:val="1F1F1F"/>
                <w:sz w:val="24"/>
                <w:szCs w:val="24"/>
                <w:lang w:eastAsia="en-ZA"/>
              </w:rPr>
              <w:t>Heatmaps</w:t>
            </w:r>
            <w:proofErr w:type="spellEnd"/>
            <w:r w:rsidRPr="00DF4AF4">
              <w:rPr>
                <w:rFonts w:eastAsia="Times New Roman" w:cs="Times New Roman"/>
                <w:color w:val="1F1F1F"/>
                <w:sz w:val="24"/>
                <w:szCs w:val="24"/>
                <w:lang w:eastAsia="en-ZA"/>
              </w:rPr>
              <w:t>), Priority Customer Support, Access to run Basic In-</w:t>
            </w:r>
            <w:r w:rsidRPr="00DF4AF4">
              <w:rPr>
                <w:rFonts w:eastAsia="Times New Roman" w:cs="Times New Roman"/>
                <w:color w:val="1F1F1F"/>
                <w:sz w:val="24"/>
                <w:szCs w:val="24"/>
                <w:lang w:eastAsia="en-ZA"/>
              </w:rPr>
              <w:lastRenderedPageBreak/>
              <w:t>App Promotions.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lastRenderedPageBreak/>
              <w:t xml:space="preserve">Necessity of </w:t>
            </w:r>
            <w:r w:rsidRPr="00DF4AF4">
              <w:rPr>
                <w:rFonts w:eastAsia="Times New Roman" w:cs="Times New Roman"/>
                <w:b/>
                <w:bCs/>
                <w:color w:val="1F1F1F"/>
                <w:sz w:val="24"/>
                <w:szCs w:val="24"/>
                <w:bdr w:val="none" w:sz="0" w:space="0" w:color="auto" w:frame="1"/>
                <w:lang w:eastAsia="en-ZA"/>
              </w:rPr>
              <w:t>Optimization</w:t>
            </w:r>
            <w:r w:rsidRPr="00DF4AF4">
              <w:rPr>
                <w:rFonts w:eastAsia="Times New Roman" w:cs="Times New Roman"/>
                <w:color w:val="1F1F1F"/>
                <w:sz w:val="24"/>
                <w:szCs w:val="24"/>
                <w:lang w:eastAsia="en-ZA"/>
              </w:rPr>
              <w:t xml:space="preserve"> and </w:t>
            </w:r>
            <w:r w:rsidRPr="00DF4AF4">
              <w:rPr>
                <w:rFonts w:eastAsia="Times New Roman" w:cs="Times New Roman"/>
                <w:b/>
                <w:bCs/>
                <w:color w:val="1F1F1F"/>
                <w:sz w:val="24"/>
                <w:szCs w:val="24"/>
                <w:bdr w:val="none" w:sz="0" w:space="0" w:color="auto" w:frame="1"/>
                <w:lang w:eastAsia="en-ZA"/>
              </w:rPr>
              <w:t>Risk Reduction</w:t>
            </w:r>
            <w:r w:rsidRPr="00DF4AF4">
              <w:rPr>
                <w:rFonts w:eastAsia="Times New Roman" w:cs="Times New Roman"/>
                <w:color w:val="1F1F1F"/>
                <w:sz w:val="24"/>
                <w:szCs w:val="24"/>
                <w:lang w:eastAsia="en-ZA"/>
              </w:rPr>
              <w:t>. Justified by unique, actionable data to boost profits.</w:t>
            </w:r>
          </w:p>
        </w:tc>
      </w:tr>
    </w:tbl>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lastRenderedPageBreak/>
        <w:t>Rationale for 20-Vendor Context:</w:t>
      </w:r>
    </w:p>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 xml:space="preserve">With only 20 initial vendors, high MRR per vendor is crucial. The Pro Merchant Tier (R499) serves to maximize your Average Revenue </w:t>
      </w:r>
      <w:proofErr w:type="gramStart"/>
      <w:r w:rsidRPr="00DF4AF4">
        <w:rPr>
          <w:rFonts w:eastAsia="Times New Roman" w:cs="Times New Roman"/>
          <w:color w:val="1F1F1F"/>
          <w:sz w:val="24"/>
          <w:szCs w:val="24"/>
          <w:lang w:eastAsia="en-ZA"/>
        </w:rPr>
        <w:t>Per</w:t>
      </w:r>
      <w:proofErr w:type="gramEnd"/>
      <w:r w:rsidRPr="00DF4AF4">
        <w:rPr>
          <w:rFonts w:eastAsia="Times New Roman" w:cs="Times New Roman"/>
          <w:color w:val="1F1F1F"/>
          <w:sz w:val="24"/>
          <w:szCs w:val="24"/>
          <w:lang w:eastAsia="en-ZA"/>
        </w:rPr>
        <w:t xml:space="preserve"> User (ARPU) from day one. You must focus on proving the tangible ROI of the R499 features (Advanced Analytics) to lock in those high-value customers.</w:t>
      </w:r>
    </w:p>
    <w:p w:rsidR="00DF4AF4" w:rsidRPr="00DF4AF4" w:rsidRDefault="00DF4AF4" w:rsidP="00DF4AF4">
      <w:pPr>
        <w:spacing w:before="100" w:beforeAutospacing="1" w:after="120" w:line="240" w:lineRule="auto"/>
        <w:outlineLvl w:val="1"/>
        <w:rPr>
          <w:rFonts w:eastAsia="Times New Roman" w:cs="Times New Roman"/>
          <w:b/>
          <w:bCs/>
          <w:color w:val="1F1F1F"/>
          <w:sz w:val="36"/>
          <w:szCs w:val="36"/>
          <w:lang w:eastAsia="en-ZA"/>
        </w:rPr>
      </w:pPr>
      <w:r w:rsidRPr="00DF4AF4">
        <w:rPr>
          <w:rFonts w:eastAsia="Times New Roman" w:cs="Times New Roman"/>
          <w:b/>
          <w:bCs/>
          <w:color w:val="1F1F1F"/>
          <w:sz w:val="36"/>
          <w:szCs w:val="36"/>
          <w:lang w:eastAsia="en-ZA"/>
        </w:rPr>
        <w:t>2. Scaling Revenue &amp; Diversification Roadmap</w:t>
      </w:r>
    </w:p>
    <w:p w:rsidR="00DF4AF4" w:rsidRPr="00DF4AF4" w:rsidRDefault="00DF4AF4" w:rsidP="00DF4AF4">
      <w:pPr>
        <w:spacing w:before="100" w:beforeAutospacing="1" w:after="0"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 xml:space="preserve">To scale revenue generation as the scope expands beyond just food and into services, retail, and rental, we must introduce new monetization layers </w:t>
      </w:r>
      <w:r w:rsidRPr="00DF4AF4">
        <w:rPr>
          <w:rFonts w:eastAsia="Times New Roman" w:cs="Times New Roman"/>
          <w:b/>
          <w:bCs/>
          <w:color w:val="1F1F1F"/>
          <w:sz w:val="24"/>
          <w:szCs w:val="24"/>
          <w:bdr w:val="none" w:sz="0" w:space="0" w:color="auto" w:frame="1"/>
          <w:lang w:eastAsia="en-ZA"/>
        </w:rPr>
        <w:t>only when the platform's value can justify them.</w:t>
      </w:r>
    </w:p>
    <w:p w:rsidR="00DF4AF4" w:rsidRPr="00DF4AF4" w:rsidRDefault="00DF4AF4" w:rsidP="00DF4AF4">
      <w:pPr>
        <w:spacing w:before="100" w:beforeAutospacing="1" w:after="120" w:line="240" w:lineRule="auto"/>
        <w:outlineLvl w:val="2"/>
        <w:rPr>
          <w:rFonts w:eastAsia="Times New Roman" w:cs="Times New Roman"/>
          <w:b/>
          <w:bCs/>
          <w:color w:val="1F1F1F"/>
          <w:sz w:val="27"/>
          <w:szCs w:val="27"/>
          <w:lang w:eastAsia="en-ZA"/>
        </w:rPr>
      </w:pPr>
      <w:r w:rsidRPr="00DF4AF4">
        <w:rPr>
          <w:rFonts w:eastAsia="Times New Roman" w:cs="Times New Roman"/>
          <w:b/>
          <w:bCs/>
          <w:color w:val="1F1F1F"/>
          <w:sz w:val="27"/>
          <w:szCs w:val="27"/>
          <w:lang w:eastAsia="en-ZA"/>
        </w:rPr>
        <w:t>2.1 Phase 2: Hybrid Monetization (Transaction Commission)</w:t>
      </w:r>
    </w:p>
    <w:p w:rsidR="00DF4AF4" w:rsidRPr="00DF4AF4" w:rsidRDefault="00DF4AF4" w:rsidP="00DF4AF4">
      <w:pPr>
        <w:spacing w:before="100" w:beforeAutospacing="1" w:after="240"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This is the most significant step in scaling revenue, transitioning to a performance-based model. It will apply equally to food, retail, and services/rental transactions.</w:t>
      </w:r>
    </w:p>
    <w:tbl>
      <w:tblPr>
        <w:tblW w:w="0" w:type="auto"/>
        <w:tblCellSpacing w:w="15" w:type="dxa"/>
        <w:tblCellMar>
          <w:left w:w="0" w:type="dxa"/>
          <w:right w:w="0" w:type="dxa"/>
        </w:tblCellMar>
        <w:tblLook w:val="04A0" w:firstRow="1" w:lastRow="0" w:firstColumn="1" w:lastColumn="0" w:noHBand="0" w:noVBand="1"/>
      </w:tblPr>
      <w:tblGrid>
        <w:gridCol w:w="1778"/>
        <w:gridCol w:w="1934"/>
        <w:gridCol w:w="3160"/>
        <w:gridCol w:w="2604"/>
      </w:tblGrid>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Revenue 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Strategic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Justification</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Transaction Commission (Take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8% Flat Commission</w:t>
            </w:r>
            <w:r w:rsidRPr="00DF4AF4">
              <w:rPr>
                <w:rFonts w:eastAsia="Times New Roman" w:cs="Times New Roman"/>
                <w:color w:val="1F1F1F"/>
                <w:sz w:val="24"/>
                <w:szCs w:val="24"/>
                <w:lang w:eastAsia="en-ZA"/>
              </w:rPr>
              <w:t xml:space="preserve"> on Gross Merchandise Volume (GMV).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Integrated Logistics Maturity</w:t>
            </w:r>
            <w:r w:rsidRPr="00DF4AF4">
              <w:rPr>
                <w:rFonts w:eastAsia="Times New Roman" w:cs="Times New Roman"/>
                <w:color w:val="1F1F1F"/>
                <w:sz w:val="24"/>
                <w:szCs w:val="24"/>
                <w:lang w:eastAsia="en-ZA"/>
              </w:rPr>
              <w:t xml:space="preserve"> (Launch of integrated delivery/logistics) </w:t>
            </w:r>
            <w:r w:rsidRPr="00DF4AF4">
              <w:rPr>
                <w:rFonts w:eastAsia="Times New Roman" w:cs="Times New Roman"/>
                <w:b/>
                <w:bCs/>
                <w:color w:val="1F1F1F"/>
                <w:sz w:val="24"/>
                <w:szCs w:val="24"/>
                <w:bdr w:val="none" w:sz="0" w:space="0" w:color="auto" w:frame="1"/>
                <w:lang w:eastAsia="en-ZA"/>
              </w:rPr>
              <w:t>OR</w:t>
            </w:r>
            <w:r w:rsidRPr="00DF4AF4">
              <w:rPr>
                <w:rFonts w:eastAsia="Times New Roman" w:cs="Times New Roman"/>
                <w:color w:val="1F1F1F"/>
                <w:sz w:val="24"/>
                <w:szCs w:val="24"/>
                <w:lang w:eastAsia="en-ZA"/>
              </w:rPr>
              <w:t xml:space="preserve"> </w:t>
            </w:r>
            <w:r w:rsidRPr="00DF4AF4">
              <w:rPr>
                <w:rFonts w:eastAsia="Times New Roman" w:cs="Times New Roman"/>
                <w:b/>
                <w:bCs/>
                <w:color w:val="1F1F1F"/>
                <w:sz w:val="24"/>
                <w:szCs w:val="24"/>
                <w:bdr w:val="none" w:sz="0" w:space="0" w:color="auto" w:frame="1"/>
                <w:lang w:eastAsia="en-ZA"/>
              </w:rPr>
              <w:t>Performance-Based Threshold</w:t>
            </w:r>
            <w:r w:rsidRPr="00DF4AF4">
              <w:rPr>
                <w:rFonts w:eastAsia="Times New Roman" w:cs="Times New Roman"/>
                <w:color w:val="1F1F1F"/>
                <w:sz w:val="24"/>
                <w:szCs w:val="24"/>
                <w:lang w:eastAsia="en-ZA"/>
              </w:rPr>
              <w:t xml:space="preserve"> (Vendor consistently hits ~R6</w:t>
            </w:r>
            <w:proofErr w:type="gramStart"/>
            <w:r w:rsidRPr="00DF4AF4">
              <w:rPr>
                <w:rFonts w:eastAsia="Times New Roman" w:cs="Times New Roman"/>
                <w:color w:val="1F1F1F"/>
                <w:sz w:val="24"/>
                <w:szCs w:val="24"/>
                <w:lang w:eastAsia="en-ZA"/>
              </w:rPr>
              <w:t>,250</w:t>
            </w:r>
            <w:proofErr w:type="gramEnd"/>
            <w:r w:rsidRPr="00DF4AF4">
              <w:rPr>
                <w:rFonts w:eastAsia="Times New Roman" w:cs="Times New Roman"/>
                <w:color w:val="1F1F1F"/>
                <w:sz w:val="24"/>
                <w:szCs w:val="24"/>
                <w:lang w:eastAsia="en-ZA"/>
              </w:rPr>
              <w:t xml:space="preserve"> GMV/month, making the commission greater than the R499 subscription).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The commission is justified by the platform now providing high-value logistics (</w:t>
            </w:r>
            <w:proofErr w:type="spellStart"/>
            <w:r w:rsidRPr="00DF4AF4">
              <w:rPr>
                <w:rFonts w:eastAsia="Times New Roman" w:cs="Times New Roman"/>
                <w:color w:val="1F1F1F"/>
                <w:sz w:val="24"/>
                <w:szCs w:val="24"/>
                <w:lang w:eastAsia="en-ZA"/>
              </w:rPr>
              <w:t>fulfillment</w:t>
            </w:r>
            <w:proofErr w:type="spellEnd"/>
            <w:r w:rsidRPr="00DF4AF4">
              <w:rPr>
                <w:rFonts w:eastAsia="Times New Roman" w:cs="Times New Roman"/>
                <w:color w:val="1F1F1F"/>
                <w:sz w:val="24"/>
                <w:szCs w:val="24"/>
                <w:lang w:eastAsia="en-ZA"/>
              </w:rPr>
              <w:t xml:space="preserve"> and delivery) or by allowing high-volume vendors to switch to a cost structure that scales with their success.</w:t>
            </w:r>
          </w:p>
        </w:tc>
      </w:tr>
    </w:tbl>
    <w:p w:rsidR="00DF4AF4" w:rsidRPr="00DF4AF4" w:rsidRDefault="00DF4AF4" w:rsidP="00DF4AF4">
      <w:pPr>
        <w:spacing w:before="100" w:beforeAutospacing="1" w:after="120" w:line="240" w:lineRule="auto"/>
        <w:outlineLvl w:val="2"/>
        <w:rPr>
          <w:rFonts w:eastAsia="Times New Roman" w:cs="Times New Roman"/>
          <w:b/>
          <w:bCs/>
          <w:color w:val="1F1F1F"/>
          <w:sz w:val="27"/>
          <w:szCs w:val="27"/>
          <w:lang w:eastAsia="en-ZA"/>
        </w:rPr>
      </w:pPr>
      <w:r w:rsidRPr="00DF4AF4">
        <w:rPr>
          <w:rFonts w:eastAsia="Times New Roman" w:cs="Times New Roman"/>
          <w:b/>
          <w:bCs/>
          <w:color w:val="1F1F1F"/>
          <w:sz w:val="27"/>
          <w:szCs w:val="27"/>
          <w:lang w:eastAsia="en-ZA"/>
        </w:rPr>
        <w:t>2.2 Phase 3: High-Margin Add-Ons (Advertising)</w:t>
      </w:r>
    </w:p>
    <w:p w:rsidR="00DF4AF4" w:rsidRPr="00DF4AF4" w:rsidRDefault="00DF4AF4" w:rsidP="00DF4AF4">
      <w:pPr>
        <w:spacing w:before="100" w:beforeAutospacing="1" w:after="240"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As your multi-sector marketplace grows in density (more vendors in each category), advertising becomes a high-margin revenue stream.</w:t>
      </w:r>
    </w:p>
    <w:tbl>
      <w:tblPr>
        <w:tblW w:w="0" w:type="auto"/>
        <w:tblCellSpacing w:w="15" w:type="dxa"/>
        <w:tblCellMar>
          <w:left w:w="0" w:type="dxa"/>
          <w:right w:w="0" w:type="dxa"/>
        </w:tblCellMar>
        <w:tblLook w:val="04A0" w:firstRow="1" w:lastRow="0" w:firstColumn="1" w:lastColumn="0" w:noHBand="0" w:noVBand="1"/>
      </w:tblPr>
      <w:tblGrid>
        <w:gridCol w:w="1704"/>
        <w:gridCol w:w="2349"/>
        <w:gridCol w:w="2456"/>
        <w:gridCol w:w="2967"/>
      </w:tblGrid>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Revenue 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Strategic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Justification</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 xml:space="preserve">Premium </w:t>
            </w:r>
            <w:r w:rsidRPr="00DF4AF4">
              <w:rPr>
                <w:rFonts w:eastAsia="Times New Roman" w:cs="Times New Roman"/>
                <w:b/>
                <w:bCs/>
                <w:color w:val="1F1F1F"/>
                <w:sz w:val="24"/>
                <w:szCs w:val="24"/>
                <w:bdr w:val="none" w:sz="0" w:space="0" w:color="auto" w:frame="1"/>
                <w:lang w:eastAsia="en-ZA"/>
              </w:rPr>
              <w:lastRenderedPageBreak/>
              <w:t>Listings / Ad Boosts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lastRenderedPageBreak/>
              <w:t xml:space="preserve">Pay-Per-Impression </w:t>
            </w:r>
            <w:r w:rsidRPr="00DF4AF4">
              <w:rPr>
                <w:rFonts w:eastAsia="Times New Roman" w:cs="Times New Roman"/>
                <w:color w:val="1F1F1F"/>
                <w:sz w:val="24"/>
                <w:szCs w:val="24"/>
                <w:lang w:eastAsia="en-ZA"/>
              </w:rPr>
              <w:lastRenderedPageBreak/>
              <w:t>(PPC) or small fixed monthly add-ons to enhance visibility.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lastRenderedPageBreak/>
              <w:t>Critical Mass:</w:t>
            </w:r>
            <w:r w:rsidRPr="00DF4AF4">
              <w:rPr>
                <w:rFonts w:eastAsia="Times New Roman" w:cs="Times New Roman"/>
                <w:color w:val="1F1F1F"/>
                <w:sz w:val="24"/>
                <w:szCs w:val="24"/>
                <w:lang w:eastAsia="en-ZA"/>
              </w:rPr>
              <w:t xml:space="preserve"> </w:t>
            </w:r>
            <w:r w:rsidRPr="00DF4AF4">
              <w:rPr>
                <w:rFonts w:eastAsia="Times New Roman" w:cs="Times New Roman"/>
                <w:color w:val="1F1F1F"/>
                <w:sz w:val="24"/>
                <w:szCs w:val="24"/>
                <w:lang w:eastAsia="en-ZA"/>
              </w:rPr>
              <w:lastRenderedPageBreak/>
              <w:t xml:space="preserve">Platform reaches </w:t>
            </w:r>
            <w:r w:rsidRPr="00DF4AF4">
              <w:rPr>
                <w:rFonts w:eastAsia="Times New Roman" w:cs="Times New Roman"/>
                <w:b/>
                <w:bCs/>
                <w:color w:val="1F1F1F"/>
                <w:sz w:val="24"/>
                <w:szCs w:val="24"/>
                <w:bdr w:val="none" w:sz="0" w:space="0" w:color="auto" w:frame="1"/>
                <w:lang w:eastAsia="en-ZA"/>
              </w:rPr>
              <w:t>100+ active, paying Vendors</w:t>
            </w:r>
            <w:r w:rsidRPr="00DF4AF4">
              <w:rPr>
                <w:rFonts w:eastAsia="Times New Roman" w:cs="Times New Roman"/>
                <w:color w:val="1F1F1F"/>
                <w:sz w:val="24"/>
                <w:szCs w:val="24"/>
                <w:lang w:eastAsia="en-ZA"/>
              </w:rPr>
              <w:t xml:space="preserve"> in a local 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lastRenderedPageBreak/>
              <w:t xml:space="preserve">Ensures enough </w:t>
            </w:r>
            <w:r w:rsidRPr="00DF4AF4">
              <w:rPr>
                <w:rFonts w:eastAsia="Times New Roman" w:cs="Times New Roman"/>
                <w:color w:val="1F1F1F"/>
                <w:sz w:val="24"/>
                <w:szCs w:val="24"/>
                <w:lang w:eastAsia="en-ZA"/>
              </w:rPr>
              <w:lastRenderedPageBreak/>
              <w:t>competition to drive demand for ad space and guarantees sufficient consumer traffic to deliver meaningful impressions.</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lastRenderedPageBreak/>
              <w:t>Future Consumer Loyalty Program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R59 Monthly Subscription</w:t>
            </w:r>
            <w:r w:rsidRPr="00DF4AF4">
              <w:rPr>
                <w:rFonts w:eastAsia="Times New Roman" w:cs="Times New Roman"/>
                <w:color w:val="1F1F1F"/>
                <w:sz w:val="24"/>
                <w:szCs w:val="24"/>
                <w:lang w:eastAsia="en-ZA"/>
              </w:rPr>
              <w:t xml:space="preserve"> (Demand-Side Revenue)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Consumer Stickiness:</w:t>
            </w:r>
            <w:r w:rsidRPr="00DF4AF4">
              <w:rPr>
                <w:rFonts w:eastAsia="Times New Roman" w:cs="Times New Roman"/>
                <w:color w:val="1F1F1F"/>
                <w:sz w:val="24"/>
                <w:szCs w:val="24"/>
                <w:lang w:eastAsia="en-ZA"/>
              </w:rPr>
              <w:t xml:space="preserve"> Platform reaches </w:t>
            </w:r>
            <w:r w:rsidRPr="00DF4AF4">
              <w:rPr>
                <w:rFonts w:eastAsia="Times New Roman" w:cs="Times New Roman"/>
                <w:b/>
                <w:bCs/>
                <w:color w:val="1F1F1F"/>
                <w:sz w:val="24"/>
                <w:szCs w:val="24"/>
                <w:bdr w:val="none" w:sz="0" w:space="0" w:color="auto" w:frame="1"/>
                <w:lang w:eastAsia="en-ZA"/>
              </w:rPr>
              <w:t>5,000+ active Consumers</w:t>
            </w:r>
            <w:r w:rsidRPr="00DF4AF4">
              <w:rPr>
                <w:rFonts w:eastAsia="Times New Roman" w:cs="Times New Roman"/>
                <w:color w:val="1F1F1F"/>
                <w:sz w:val="24"/>
                <w:szCs w:val="24"/>
                <w:lang w:eastAsia="en-ZA"/>
              </w:rPr>
              <w:t xml:space="preserve"> with high repeat order 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Monetizes the demand side by offering exclusive benefits (e.g., waived service fees, special discounts) to reinforce consumer loyalty.</w:t>
            </w:r>
          </w:p>
        </w:tc>
      </w:tr>
    </w:tbl>
    <w:p w:rsidR="00DF4AF4" w:rsidRPr="00DF4AF4" w:rsidRDefault="00DF4AF4" w:rsidP="00DF4AF4">
      <w:pPr>
        <w:spacing w:before="100" w:beforeAutospacing="1" w:after="120" w:line="240" w:lineRule="auto"/>
        <w:outlineLvl w:val="1"/>
        <w:rPr>
          <w:rFonts w:eastAsia="Times New Roman" w:cs="Times New Roman"/>
          <w:b/>
          <w:bCs/>
          <w:color w:val="1F1F1F"/>
          <w:sz w:val="36"/>
          <w:szCs w:val="36"/>
          <w:lang w:eastAsia="en-ZA"/>
        </w:rPr>
      </w:pPr>
      <w:r w:rsidRPr="00DF4AF4">
        <w:rPr>
          <w:rFonts w:eastAsia="Times New Roman" w:cs="Times New Roman"/>
          <w:b/>
          <w:bCs/>
          <w:color w:val="1F1F1F"/>
          <w:sz w:val="36"/>
          <w:szCs w:val="36"/>
          <w:lang w:eastAsia="en-ZA"/>
        </w:rPr>
        <w:t>3. Key Financial Metric (KPI) Targets</w:t>
      </w:r>
    </w:p>
    <w:tbl>
      <w:tblPr>
        <w:tblW w:w="0" w:type="auto"/>
        <w:tblCellSpacing w:w="15" w:type="dxa"/>
        <w:tblCellMar>
          <w:left w:w="0" w:type="dxa"/>
          <w:right w:w="0" w:type="dxa"/>
        </w:tblCellMar>
        <w:tblLook w:val="04A0" w:firstRow="1" w:lastRow="0" w:firstColumn="1" w:lastColumn="0" w:noHBand="0" w:noVBand="1"/>
      </w:tblPr>
      <w:tblGrid>
        <w:gridCol w:w="2256"/>
        <w:gridCol w:w="1520"/>
        <w:gridCol w:w="5700"/>
      </w:tblGrid>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Strategic Relevance to Multi-Sector Growth</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Gross Margin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90%+</w:t>
            </w:r>
            <w:r w:rsidRPr="00DF4AF4">
              <w:rPr>
                <w:rFonts w:eastAsia="Times New Roman" w:cs="Times New Roman"/>
                <w:color w:val="1F1F1F"/>
                <w:sz w:val="24"/>
                <w:szCs w:val="24"/>
                <w:lang w:eastAsia="en-ZA"/>
              </w:rPr>
              <w:t xml:space="preserve"> (MVP 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Essential for proving financial health and stability, confirming the subscription model's low COGS.</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Conversion Rate (R0 to R199)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10%–12%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 xml:space="preserve">Measures the effectiveness of the </w:t>
            </w:r>
            <w:r w:rsidRPr="00DF4AF4">
              <w:rPr>
                <w:rFonts w:eastAsia="Times New Roman" w:cs="Times New Roman"/>
                <w:b/>
                <w:bCs/>
                <w:color w:val="1F1F1F"/>
                <w:sz w:val="24"/>
                <w:szCs w:val="24"/>
                <w:bdr w:val="none" w:sz="0" w:space="0" w:color="auto" w:frame="1"/>
                <w:lang w:eastAsia="en-ZA"/>
              </w:rPr>
              <w:t>10-Item Paywall</w:t>
            </w:r>
            <w:r w:rsidRPr="00DF4AF4">
              <w:rPr>
                <w:rFonts w:eastAsia="Times New Roman" w:cs="Times New Roman"/>
                <w:color w:val="1F1F1F"/>
                <w:sz w:val="24"/>
                <w:szCs w:val="24"/>
                <w:lang w:eastAsia="en-ZA"/>
              </w:rPr>
              <w:t xml:space="preserve"> as the primary friction point.</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Vendor Churn Rate (Monthly)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&lt;5%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Critical for SMBs.</w:t>
            </w:r>
            <w:r w:rsidRPr="00DF4AF4">
              <w:rPr>
                <w:rFonts w:eastAsia="Times New Roman" w:cs="Times New Roman"/>
                <w:color w:val="1F1F1F"/>
                <w:sz w:val="24"/>
                <w:szCs w:val="24"/>
                <w:lang w:eastAsia="en-ZA"/>
              </w:rPr>
              <w:t xml:space="preserve"> Mitigated by generating mandatory monthly ROI reports that justify the subscription fee with sales data.</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ARPU (Average Revenue Per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R300+</w:t>
            </w:r>
            <w:r w:rsidRPr="00DF4AF4">
              <w:rPr>
                <w:rFonts w:eastAsia="Times New Roman" w:cs="Times New Roman"/>
                <w:color w:val="1F1F1F"/>
                <w:sz w:val="24"/>
                <w:szCs w:val="24"/>
                <w:lang w:eastAsia="en-ZA"/>
              </w:rPr>
              <w:t xml:space="preserve"> (Target)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 xml:space="preserve">Maximize by driving adoption of the high-value </w:t>
            </w:r>
            <w:r w:rsidRPr="00DF4AF4">
              <w:rPr>
                <w:rFonts w:eastAsia="Times New Roman" w:cs="Times New Roman"/>
                <w:b/>
                <w:bCs/>
                <w:color w:val="1F1F1F"/>
                <w:sz w:val="24"/>
                <w:szCs w:val="24"/>
                <w:bdr w:val="none" w:sz="0" w:space="0" w:color="auto" w:frame="1"/>
                <w:lang w:eastAsia="en-ZA"/>
              </w:rPr>
              <w:t>R499 Pro Merchant Tier</w:t>
            </w:r>
            <w:r w:rsidRPr="00DF4AF4">
              <w:rPr>
                <w:rFonts w:eastAsia="Times New Roman" w:cs="Times New Roman"/>
                <w:color w:val="1F1F1F"/>
                <w:sz w:val="24"/>
                <w:szCs w:val="24"/>
                <w:lang w:eastAsia="en-ZA"/>
              </w:rPr>
              <w:t>. This tier's success is sector-agnostic (retail, rental, services all need data).</w:t>
            </w:r>
          </w:p>
        </w:tc>
      </w:tr>
    </w:tbl>
    <w:p w:rsidR="00DF4AF4" w:rsidRPr="00DF4AF4" w:rsidRDefault="00DF4AF4" w:rsidP="00DF4AF4">
      <w:pPr>
        <w:spacing w:before="100" w:beforeAutospacing="1" w:after="120" w:line="240" w:lineRule="auto"/>
        <w:outlineLvl w:val="1"/>
        <w:rPr>
          <w:rFonts w:eastAsia="Times New Roman" w:cs="Times New Roman"/>
          <w:b/>
          <w:bCs/>
          <w:color w:val="1F1F1F"/>
          <w:sz w:val="36"/>
          <w:szCs w:val="36"/>
          <w:lang w:eastAsia="en-ZA"/>
        </w:rPr>
      </w:pPr>
      <w:r w:rsidRPr="00DF4AF4">
        <w:rPr>
          <w:rFonts w:eastAsia="Times New Roman" w:cs="Times New Roman"/>
          <w:b/>
          <w:bCs/>
          <w:color w:val="1F1F1F"/>
          <w:sz w:val="36"/>
          <w:szCs w:val="36"/>
          <w:lang w:eastAsia="en-ZA"/>
        </w:rPr>
        <w:t>4. Sector Expansion Notes</w:t>
      </w:r>
    </w:p>
    <w:p w:rsidR="00DF4AF4" w:rsidRPr="00DF4AF4" w:rsidRDefault="00DF4AF4" w:rsidP="00DF4AF4">
      <w:pPr>
        <w:spacing w:before="100" w:beforeAutospacing="1" w:after="240"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The tiered subscription model is inherently scalable across all sectors:</w:t>
      </w:r>
    </w:p>
    <w:tbl>
      <w:tblPr>
        <w:tblW w:w="0" w:type="auto"/>
        <w:tblCellSpacing w:w="15" w:type="dxa"/>
        <w:tblCellMar>
          <w:left w:w="0" w:type="dxa"/>
          <w:right w:w="0" w:type="dxa"/>
        </w:tblCellMar>
        <w:tblLook w:val="04A0" w:firstRow="1" w:lastRow="0" w:firstColumn="1" w:lastColumn="0" w:noHBand="0" w:noVBand="1"/>
      </w:tblPr>
      <w:tblGrid>
        <w:gridCol w:w="2218"/>
        <w:gridCol w:w="3292"/>
        <w:gridCol w:w="3966"/>
      </w:tblGrid>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Sector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Core Subscription Value Provided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after="0"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Future Commission/Fee Note</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t>Food &amp; Retail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Listing, Inventory Management, Order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 xml:space="preserve">Transition to the </w:t>
            </w:r>
            <w:r w:rsidRPr="00DF4AF4">
              <w:rPr>
                <w:rFonts w:eastAsia="Times New Roman" w:cs="Times New Roman"/>
                <w:b/>
                <w:bCs/>
                <w:color w:val="1F1F1F"/>
                <w:sz w:val="24"/>
                <w:szCs w:val="24"/>
                <w:bdr w:val="none" w:sz="0" w:space="0" w:color="auto" w:frame="1"/>
                <w:lang w:eastAsia="en-ZA"/>
              </w:rPr>
              <w:t>8% Take Rate</w:t>
            </w:r>
            <w:r w:rsidRPr="00DF4AF4">
              <w:rPr>
                <w:rFonts w:eastAsia="Times New Roman" w:cs="Times New Roman"/>
                <w:color w:val="1F1F1F"/>
                <w:sz w:val="24"/>
                <w:szCs w:val="24"/>
                <w:lang w:eastAsia="en-ZA"/>
              </w:rPr>
              <w:t xml:space="preserve"> upon integrated delivery launch.</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b/>
                <w:bCs/>
                <w:color w:val="1F1F1F"/>
                <w:sz w:val="24"/>
                <w:szCs w:val="24"/>
                <w:bdr w:val="none" w:sz="0" w:space="0" w:color="auto" w:frame="1"/>
                <w:lang w:eastAsia="en-ZA"/>
              </w:rPr>
              <w:lastRenderedPageBreak/>
              <w:t>Services</w:t>
            </w:r>
            <w:r w:rsidRPr="00DF4AF4">
              <w:rPr>
                <w:rFonts w:eastAsia="Times New Roman" w:cs="Times New Roman"/>
                <w:color w:val="1F1F1F"/>
                <w:sz w:val="24"/>
                <w:szCs w:val="24"/>
                <w:lang w:eastAsia="en-ZA"/>
              </w:rPr>
              <w:t xml:space="preserve"> (e.g., Plumbers, Tutors)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Profile Visibility, Booking Management, Communication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 xml:space="preserve">Commission (e.g., 8%) applied to the </w:t>
            </w:r>
            <w:r w:rsidRPr="00DF4AF4">
              <w:rPr>
                <w:rFonts w:eastAsia="Times New Roman" w:cs="Times New Roman"/>
                <w:b/>
                <w:bCs/>
                <w:color w:val="1F1F1F"/>
                <w:sz w:val="24"/>
                <w:szCs w:val="24"/>
                <w:bdr w:val="none" w:sz="0" w:space="0" w:color="auto" w:frame="1"/>
                <w:lang w:eastAsia="en-ZA"/>
              </w:rPr>
              <w:t>transaction value of the confirmed booking.</w:t>
            </w:r>
          </w:p>
        </w:tc>
      </w:tr>
      <w:tr w:rsidR="00DF4AF4" w:rsidRPr="00DF4AF4" w:rsidTr="00DF4A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bookmarkStart w:id="0" w:name="_GoBack" w:colFirst="2" w:colLast="2"/>
            <w:r w:rsidRPr="00DF4AF4">
              <w:rPr>
                <w:rFonts w:eastAsia="Times New Roman" w:cs="Times New Roman"/>
                <w:b/>
                <w:bCs/>
                <w:color w:val="1F1F1F"/>
                <w:sz w:val="24"/>
                <w:szCs w:val="24"/>
                <w:bdr w:val="none" w:sz="0" w:space="0" w:color="auto" w:frame="1"/>
                <w:lang w:eastAsia="en-ZA"/>
              </w:rPr>
              <w:t>Rental</w:t>
            </w:r>
            <w:r w:rsidRPr="00DF4AF4">
              <w:rPr>
                <w:rFonts w:eastAsia="Times New Roman" w:cs="Times New Roman"/>
                <w:color w:val="1F1F1F"/>
                <w:sz w:val="24"/>
                <w:szCs w:val="24"/>
                <w:lang w:eastAsia="en-ZA"/>
              </w:rPr>
              <w:t xml:space="preserve"> (e.g., Equipment, Property)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Listing, Availability Calendar, Invoicing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F4AF4" w:rsidRPr="00DF4AF4" w:rsidRDefault="00DF4AF4" w:rsidP="00DF4AF4">
            <w:pPr>
              <w:spacing w:before="100" w:beforeAutospacing="1" w:after="100" w:afterAutospacing="1" w:line="240" w:lineRule="auto"/>
              <w:rPr>
                <w:rFonts w:eastAsia="Times New Roman" w:cs="Times New Roman"/>
                <w:color w:val="1F1F1F"/>
                <w:sz w:val="24"/>
                <w:szCs w:val="24"/>
                <w:lang w:eastAsia="en-ZA"/>
              </w:rPr>
            </w:pPr>
            <w:r w:rsidRPr="00DF4AF4">
              <w:rPr>
                <w:rFonts w:eastAsia="Times New Roman" w:cs="Times New Roman"/>
                <w:color w:val="1F1F1F"/>
                <w:sz w:val="24"/>
                <w:szCs w:val="24"/>
                <w:lang w:eastAsia="en-ZA"/>
              </w:rPr>
              <w:t xml:space="preserve">Commission (e.g., 8%) applied to the </w:t>
            </w:r>
            <w:r w:rsidRPr="00DF4AF4">
              <w:rPr>
                <w:rFonts w:eastAsia="Times New Roman" w:cs="Times New Roman"/>
                <w:b/>
                <w:bCs/>
                <w:color w:val="1F1F1F"/>
                <w:sz w:val="24"/>
                <w:szCs w:val="24"/>
                <w:bdr w:val="none" w:sz="0" w:space="0" w:color="auto" w:frame="1"/>
                <w:lang w:eastAsia="en-ZA"/>
              </w:rPr>
              <w:t>agreed-upon rental fee.</w:t>
            </w:r>
          </w:p>
        </w:tc>
      </w:tr>
      <w:bookmarkEnd w:id="0"/>
    </w:tbl>
    <w:p w:rsidR="00271C0B" w:rsidRPr="00DF4AF4" w:rsidRDefault="00046164"/>
    <w:sectPr w:rsidR="00271C0B" w:rsidRPr="00DF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296"/>
    <w:rsid w:val="00046164"/>
    <w:rsid w:val="001161AC"/>
    <w:rsid w:val="00BB4296"/>
    <w:rsid w:val="00DF4AF4"/>
    <w:rsid w:val="00EB0C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F4A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F4AF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DF4AF4"/>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AF4"/>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F4AF4"/>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DF4AF4"/>
    <w:rPr>
      <w:rFonts w:ascii="Times New Roman" w:eastAsia="Times New Roman" w:hAnsi="Times New Roman" w:cs="Times New Roman"/>
      <w:b/>
      <w:bCs/>
      <w:sz w:val="27"/>
      <w:szCs w:val="27"/>
      <w:lang w:eastAsia="en-ZA"/>
    </w:rPr>
  </w:style>
  <w:style w:type="paragraph" w:styleId="NormalWeb">
    <w:name w:val="Normal (Web)"/>
    <w:basedOn w:val="Normal"/>
    <w:uiPriority w:val="99"/>
    <w:unhideWhenUsed/>
    <w:rsid w:val="00DF4AF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F4AF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F4A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F4AF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DF4AF4"/>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AF4"/>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F4AF4"/>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DF4AF4"/>
    <w:rPr>
      <w:rFonts w:ascii="Times New Roman" w:eastAsia="Times New Roman" w:hAnsi="Times New Roman" w:cs="Times New Roman"/>
      <w:b/>
      <w:bCs/>
      <w:sz w:val="27"/>
      <w:szCs w:val="27"/>
      <w:lang w:eastAsia="en-ZA"/>
    </w:rPr>
  </w:style>
  <w:style w:type="paragraph" w:styleId="NormalWeb">
    <w:name w:val="Normal (Web)"/>
    <w:basedOn w:val="Normal"/>
    <w:uiPriority w:val="99"/>
    <w:unhideWhenUsed/>
    <w:rsid w:val="00DF4AF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F4A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914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Siya</dc:creator>
  <cp:lastModifiedBy>Siya</cp:lastModifiedBy>
  <cp:revision>2</cp:revision>
  <dcterms:created xsi:type="dcterms:W3CDTF">2025-12-09T11:16:00Z</dcterms:created>
  <dcterms:modified xsi:type="dcterms:W3CDTF">2025-12-09T11:16:00Z</dcterms:modified>
</cp:coreProperties>
</file>