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Sparksmith Electrical Services — WEDE5020 POE Part 2</w:t>
      </w:r>
    </w:p>
    <w:p>
      <w:r>
        <w:t>Part 2: CSS Styling and Responsiveness</w:t>
      </w:r>
    </w:p>
    <w:p>
      <w:r>
        <w:t>Date: 16 September 2026</w:t>
      </w:r>
    </w:p>
    <w:p>
      <w:pPr>
        <w:pStyle w:val="Heading2"/>
      </w:pPr>
      <w:r>
        <w:t>1. Improvements to Part 1</w:t>
      </w:r>
    </w:p>
    <w:p>
      <w:r>
        <w:t>The Part 1 website provided the basic five-page HTML structure for Sparksmith Electrical Services. For Part 2, the website was improved by separating presentation from structure and creating one external CSS stylesheet called styles.css. All five HTML pages now use the same stylesheet, which makes the design more consistent and reduces repeated styling code.</w:t>
      </w:r>
    </w:p>
    <w:p>
      <w:r>
        <w:t>The navigation, hero sections, service cards, product cards, enquiry form, tables, footer and images were restyled. The layout uses CSS Grid and Flexbox to organise content on larger screens. The design uses a professional navy and blue colour scheme with a yellow accent to make important calls to action visible.</w:t>
      </w:r>
    </w:p>
    <w:p>
      <w:pPr>
        <w:pStyle w:val="Heading2"/>
      </w:pPr>
      <w:r>
        <w:t>2. Responsive Design</w:t>
      </w:r>
    </w:p>
    <w:p>
      <w:r>
        <w:t>Responsive CSS was added using relative widths and media queries. At tablet sizes, multi-column sections change to fewer columns. At mobile sizes, grids become single-column layouts, navigation links wrap into a two-column arrangement, images resize, and the form fields stack vertically. This allows the website to remain readable on phones without horizontal scrolling.</w:t>
      </w:r>
    </w:p>
    <w:p>
      <w:pPr>
        <w:pStyle w:val="Heading2"/>
      </w:pPr>
      <w:r>
        <w:t>3. Part 2 Website Features</w:t>
      </w:r>
    </w:p>
    <w:p>
      <w:pPr>
        <w:pStyle w:val="ListBullet"/>
      </w:pPr>
      <w:r>
        <w:t>One external CSS stylesheet linked to all five pages.</w:t>
      </w:r>
    </w:p>
    <w:p>
      <w:pPr>
        <w:pStyle w:val="ListBullet"/>
      </w:pPr>
      <w:r>
        <w:t>Consistent typography, colours, spacing and buttons.</w:t>
      </w:r>
    </w:p>
    <w:p>
      <w:pPr>
        <w:pStyle w:val="ListBullet"/>
      </w:pPr>
      <w:r>
        <w:t>Desktop layouts using CSS Grid and Flexbox.</w:t>
      </w:r>
    </w:p>
    <w:p>
      <w:pPr>
        <w:pStyle w:val="ListBullet"/>
      </w:pPr>
      <w:r>
        <w:t>Responsive tablet and mobile layouts using media queries.</w:t>
      </w:r>
    </w:p>
    <w:p>
      <w:pPr>
        <w:pStyle w:val="ListBullet"/>
      </w:pPr>
      <w:r>
        <w:t>Responsive images with meaningful alternative text.</w:t>
      </w:r>
    </w:p>
    <w:p>
      <w:pPr>
        <w:pStyle w:val="ListBullet"/>
      </w:pPr>
      <w:r>
        <w:t>Styled enquiry form and service pricing table.</w:t>
      </w:r>
    </w:p>
    <w:p>
      <w:pPr>
        <w:pStyle w:val="ListBullet"/>
      </w:pPr>
      <w:r>
        <w:t>Consistent header, navigation and footer across all pages.</w:t>
      </w:r>
    </w:p>
    <w:p>
      <w:pPr>
        <w:pStyle w:val="ListBullet"/>
      </w:pPr>
      <w:r>
        <w:t>Responsive Johannesburg service-area map.</w:t>
      </w:r>
    </w:p>
    <w:p>
      <w:pPr>
        <w:pStyle w:val="ListBullet"/>
      </w:pPr>
      <w:r>
        <w:t>No JavaScript in Part 2; functionality and validation are reserved for Part 3.</w:t>
      </w:r>
    </w:p>
    <w:p>
      <w:pPr>
        <w:pStyle w:val="Heading2"/>
      </w:pPr>
      <w:r>
        <w:t>4. Page Structure</w:t>
      </w:r>
    </w:p>
    <w:tbl>
      <w:tblPr>
        <w:tblStyle w:val="TableGrid"/>
        <w:tblW w:type="auto" w:w="0"/>
        <w:tblLook w:firstColumn="1" w:firstRow="1" w:lastColumn="0" w:lastRow="0" w:noHBand="0" w:noVBand="1" w:val="04A0"/>
      </w:tblPr>
      <w:tblGrid>
        <w:gridCol w:w="4320"/>
        <w:gridCol w:w="4320"/>
      </w:tblGrid>
      <w:tr>
        <w:tc>
          <w:tcPr>
            <w:tcW w:type="dxa" w:w="4320"/>
          </w:tcPr>
          <w:p>
            <w:r>
              <w:t>Page</w:t>
            </w:r>
          </w:p>
        </w:tc>
        <w:tc>
          <w:tcPr>
            <w:tcW w:type="dxa" w:w="4320"/>
          </w:tcPr>
          <w:p>
            <w:r>
              <w:t>Purpose</w:t>
            </w:r>
          </w:p>
        </w:tc>
      </w:tr>
      <w:tr>
        <w:tc>
          <w:tcPr>
            <w:tcW w:type="dxa" w:w="4320"/>
          </w:tcPr>
          <w:p>
            <w:r>
              <w:t>Home</w:t>
            </w:r>
          </w:p>
        </w:tc>
        <w:tc>
          <w:tcPr>
            <w:tcW w:type="dxa" w:w="4320"/>
          </w:tcPr>
          <w:p>
            <w:r>
              <w:t>Introduces Sparksmith and highlights services and calls to action.</w:t>
            </w:r>
          </w:p>
        </w:tc>
      </w:tr>
      <w:tr>
        <w:tc>
          <w:tcPr>
            <w:tcW w:type="dxa" w:w="4320"/>
          </w:tcPr>
          <w:p>
            <w:r>
              <w:t>About Us</w:t>
            </w:r>
          </w:p>
        </w:tc>
        <w:tc>
          <w:tcPr>
            <w:tcW w:type="dxa" w:w="4320"/>
          </w:tcPr>
          <w:p>
            <w:r>
              <w:t>Explains the organisation concept, mission, values and target customers.</w:t>
            </w:r>
          </w:p>
        </w:tc>
      </w:tr>
      <w:tr>
        <w:tc>
          <w:tcPr>
            <w:tcW w:type="dxa" w:w="4320"/>
          </w:tcPr>
          <w:p>
            <w:r>
              <w:t>Services</w:t>
            </w:r>
          </w:p>
        </w:tc>
        <w:tc>
          <w:tcPr>
            <w:tcW w:type="dxa" w:w="4320"/>
          </w:tcPr>
          <w:p>
            <w:r>
              <w:t>Presents the six proposed service areas and indicative pricing.</w:t>
            </w:r>
          </w:p>
        </w:tc>
      </w:tr>
      <w:tr>
        <w:tc>
          <w:tcPr>
            <w:tcW w:type="dxa" w:w="4320"/>
          </w:tcPr>
          <w:p>
            <w:r>
              <w:t>Products</w:t>
            </w:r>
          </w:p>
        </w:tc>
        <w:tc>
          <w:tcPr>
            <w:tcW w:type="dxa" w:w="4320"/>
          </w:tcPr>
          <w:p>
            <w:r>
              <w:t>Displays example electrical products and reference prices.</w:t>
            </w:r>
          </w:p>
        </w:tc>
      </w:tr>
      <w:tr>
        <w:tc>
          <w:tcPr>
            <w:tcW w:type="dxa" w:w="4320"/>
          </w:tcPr>
          <w:p>
            <w:r>
              <w:t>Contact / Enquiry</w:t>
            </w:r>
          </w:p>
        </w:tc>
        <w:tc>
          <w:tcPr>
            <w:tcW w:type="dxa" w:w="4320"/>
          </w:tcPr>
          <w:p>
            <w:r>
              <w:t>Provides contact details, enquiry form and service-area map.</w:t>
            </w:r>
          </w:p>
        </w:tc>
      </w:tr>
    </w:tbl>
    <w:p>
      <w:pPr>
        <w:pStyle w:val="Heading2"/>
      </w:pPr>
      <w:r>
        <w:t>5. Development Record</w:t>
      </w:r>
    </w:p>
    <w:p>
      <w:r>
        <w:t>16 September 2026 — Created the external stylesheet, restyled all pages, added responsive media queries, improved layout and documented the changes in README.md and CHANGELOG.md.</w:t>
      </w:r>
    </w:p>
    <w:p>
      <w:pPr>
        <w:pStyle w:val="Heading2"/>
      </w:pPr>
      <w:r>
        <w:t>6. References</w:t>
      </w:r>
    </w:p>
    <w:p>
      <w:r>
        <w:t>OpenStreetMap (2026). OpenStreetMap. Available at: https://www.openstreetmap.org/ (Accessed: 16 September 2026).</w:t>
      </w:r>
    </w:p>
    <w:p>
      <w:r>
        <w:t>Additional image and product references are recorded in the website's REFERENCES.md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