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E7414" w14:textId="65025C2C" w:rsidR="00E32271" w:rsidRDefault="00E32271" w:rsidP="00CF39ED">
      <w:pPr>
        <w:spacing w:line="360" w:lineRule="auto"/>
        <w:jc w:val="both"/>
        <w:rPr>
          <w:rFonts w:ascii="Arial" w:hAnsi="Arial" w:cs="Arial"/>
          <w:sz w:val="24"/>
          <w:szCs w:val="24"/>
        </w:rPr>
      </w:pPr>
      <w:r>
        <w:rPr>
          <w:rFonts w:ascii="Arial" w:hAnsi="Arial" w:cs="Arial"/>
          <w:sz w:val="24"/>
          <w:szCs w:val="24"/>
        </w:rPr>
        <w:t xml:space="preserve">Feel free to skip through the overview of these concepts if you are familiar with them. The explanation of </w:t>
      </w:r>
      <w:proofErr w:type="spellStart"/>
      <w:r>
        <w:rPr>
          <w:rFonts w:ascii="Arial" w:hAnsi="Arial" w:cs="Arial"/>
          <w:sz w:val="24"/>
          <w:szCs w:val="24"/>
        </w:rPr>
        <w:t>CaMI</w:t>
      </w:r>
      <w:proofErr w:type="spellEnd"/>
      <w:r>
        <w:rPr>
          <w:rFonts w:ascii="Arial" w:hAnsi="Arial" w:cs="Arial"/>
          <w:sz w:val="24"/>
          <w:szCs w:val="24"/>
        </w:rPr>
        <w:t xml:space="preserve"> is further down in this document.</w:t>
      </w:r>
    </w:p>
    <w:p w14:paraId="7952DA65" w14:textId="48981A86" w:rsidR="00CF39ED" w:rsidRDefault="00CF39ED" w:rsidP="00CF39ED">
      <w:pPr>
        <w:spacing w:line="360" w:lineRule="auto"/>
        <w:jc w:val="both"/>
        <w:rPr>
          <w:rFonts w:ascii="Arial" w:hAnsi="Arial" w:cs="Arial"/>
          <w:sz w:val="24"/>
          <w:szCs w:val="24"/>
        </w:rPr>
      </w:pPr>
      <w:r>
        <w:rPr>
          <w:rFonts w:ascii="Arial" w:hAnsi="Arial" w:cs="Arial"/>
          <w:sz w:val="24"/>
          <w:szCs w:val="24"/>
        </w:rPr>
        <w:t>It is first necessary to discuss certain information theory quantities in order to infer causality:</w:t>
      </w:r>
    </w:p>
    <w:p w14:paraId="7A914E5F" w14:textId="77777777" w:rsidR="00CF39ED" w:rsidRDefault="00CF39ED" w:rsidP="00CF39ED">
      <w:pPr>
        <w:spacing w:line="360" w:lineRule="auto"/>
        <w:jc w:val="both"/>
        <w:rPr>
          <w:rFonts w:ascii="Arial" w:hAnsi="Arial" w:cs="Arial"/>
          <w:sz w:val="24"/>
          <w:szCs w:val="24"/>
        </w:rPr>
      </w:pPr>
      <w:r>
        <w:rPr>
          <w:rFonts w:ascii="Arial" w:hAnsi="Arial" w:cs="Arial"/>
          <w:b/>
          <w:bCs/>
          <w:sz w:val="24"/>
          <w:szCs w:val="24"/>
        </w:rPr>
        <w:t xml:space="preserve">Marginal and Joint probabilities: </w:t>
      </w:r>
      <w:r>
        <w:rPr>
          <w:rFonts w:ascii="Arial" w:hAnsi="Arial" w:cs="Arial"/>
          <w:sz w:val="24"/>
          <w:szCs w:val="24"/>
        </w:rPr>
        <w:t>marginal probabilities refer to the probability of a point in space being in a certain partition for variable X, assuming X is divided in any number of partitions, denoted as P(</w:t>
      </w:r>
      <w:proofErr w:type="spellStart"/>
      <w:r>
        <w:rPr>
          <w:rFonts w:ascii="Arial" w:hAnsi="Arial" w:cs="Arial"/>
          <w:sz w:val="24"/>
          <w:szCs w:val="24"/>
        </w:rPr>
        <w:t>i</w:t>
      </w:r>
      <w:proofErr w:type="spellEnd"/>
      <w:r>
        <w:rPr>
          <w:rFonts w:ascii="Arial" w:hAnsi="Arial" w:cs="Arial"/>
          <w:sz w:val="24"/>
          <w:szCs w:val="24"/>
        </w:rPr>
        <w:t>), where Y is marginalised. Joint probability is the probability of a point appearing in space P(</w:t>
      </w:r>
      <w:proofErr w:type="spellStart"/>
      <w:proofErr w:type="gramStart"/>
      <w:r>
        <w:rPr>
          <w:rFonts w:ascii="Arial" w:hAnsi="Arial" w:cs="Arial"/>
          <w:sz w:val="24"/>
          <w:szCs w:val="24"/>
        </w:rPr>
        <w:t>i,j</w:t>
      </w:r>
      <w:proofErr w:type="spellEnd"/>
      <w:proofErr w:type="gramEnd"/>
      <w:r>
        <w:rPr>
          <w:rFonts w:ascii="Arial" w:hAnsi="Arial" w:cs="Arial"/>
          <w:sz w:val="24"/>
          <w:szCs w:val="24"/>
        </w:rPr>
        <w:t xml:space="preserve">) in the space of a X vs Y plot (Morin, 2016). </w:t>
      </w:r>
    </w:p>
    <w:p w14:paraId="3378921E" w14:textId="77777777" w:rsidR="00CF39ED" w:rsidRDefault="00CF39ED" w:rsidP="00CF39ED">
      <w:pPr>
        <w:spacing w:line="360" w:lineRule="auto"/>
        <w:jc w:val="both"/>
        <w:rPr>
          <w:rFonts w:ascii="Arial" w:hAnsi="Arial" w:cs="Arial"/>
          <w:sz w:val="24"/>
          <w:szCs w:val="24"/>
        </w:rPr>
      </w:pPr>
      <w:r>
        <w:rPr>
          <w:rFonts w:ascii="Arial" w:hAnsi="Arial" w:cs="Arial"/>
          <w:b/>
          <w:bCs/>
          <w:sz w:val="24"/>
          <w:szCs w:val="24"/>
        </w:rPr>
        <w:t xml:space="preserve">Shannon Entropy: </w:t>
      </w:r>
      <w:r>
        <w:rPr>
          <w:rFonts w:ascii="Arial" w:hAnsi="Arial" w:cs="Arial"/>
          <w:sz w:val="24"/>
          <w:szCs w:val="24"/>
        </w:rPr>
        <w:t>first described in 1948, it is associated with any random variable and is interpreted as the average amount of information and the variable’s possible outcomes (Shannon, 1948). It measures the uncertainty or surprise of the given variable and is calculated as follows:</w:t>
      </w:r>
    </w:p>
    <w:p w14:paraId="338A4943" w14:textId="77777777" w:rsidR="00CF39ED" w:rsidRDefault="00CF39ED" w:rsidP="00CF39ED">
      <w:pPr>
        <w:jc w:val="both"/>
      </w:pPr>
      <w:r>
        <w:rPr>
          <w:noProof/>
        </w:rPr>
        <w:drawing>
          <wp:inline distT="114300" distB="114300" distL="114300" distR="114300" wp14:anchorId="4CD7C2E4" wp14:editId="0C5C8976">
            <wp:extent cx="2357438" cy="6429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357438" cy="642938"/>
                    </a:xfrm>
                    <a:prstGeom prst="rect">
                      <a:avLst/>
                    </a:prstGeom>
                    <a:ln/>
                  </pic:spPr>
                </pic:pic>
              </a:graphicData>
            </a:graphic>
          </wp:inline>
        </w:drawing>
      </w:r>
    </w:p>
    <w:p w14:paraId="5B296A4D" w14:textId="77777777" w:rsidR="00CF39ED" w:rsidRPr="00CE3835" w:rsidRDefault="00CF39ED" w:rsidP="00CF39ED">
      <w:pPr>
        <w:spacing w:line="360" w:lineRule="auto"/>
        <w:jc w:val="both"/>
        <w:rPr>
          <w:rFonts w:ascii="Arial" w:hAnsi="Arial" w:cs="Arial"/>
          <w:sz w:val="24"/>
          <w:szCs w:val="24"/>
        </w:rPr>
      </w:pPr>
      <w:r>
        <w:rPr>
          <w:rFonts w:ascii="Arial" w:hAnsi="Arial" w:cs="Arial"/>
          <w:sz w:val="24"/>
          <w:szCs w:val="24"/>
        </w:rPr>
        <w:t xml:space="preserve">Where n is the number of points </w:t>
      </w:r>
      <w:proofErr w:type="gramStart"/>
      <w:r>
        <w:rPr>
          <w:rFonts w:ascii="Arial" w:hAnsi="Arial" w:cs="Arial"/>
          <w:sz w:val="24"/>
          <w:szCs w:val="24"/>
        </w:rPr>
        <w:t>in a given</w:t>
      </w:r>
      <w:proofErr w:type="gramEnd"/>
      <w:r>
        <w:rPr>
          <w:rFonts w:ascii="Arial" w:hAnsi="Arial" w:cs="Arial"/>
          <w:sz w:val="24"/>
          <w:szCs w:val="24"/>
        </w:rPr>
        <w:t xml:space="preserve"> time series and p is the probability of a point falling in a certain partition in the given space.</w:t>
      </w:r>
    </w:p>
    <w:p w14:paraId="5EDFF971" w14:textId="77777777" w:rsidR="00CF39ED" w:rsidRDefault="00CF39ED" w:rsidP="00CF39ED">
      <w:pPr>
        <w:spacing w:line="360" w:lineRule="auto"/>
        <w:jc w:val="both"/>
        <w:rPr>
          <w:rFonts w:ascii="Arial" w:hAnsi="Arial" w:cs="Arial"/>
          <w:sz w:val="24"/>
          <w:szCs w:val="24"/>
        </w:rPr>
      </w:pPr>
      <w:r>
        <w:rPr>
          <w:rFonts w:ascii="Arial" w:hAnsi="Arial" w:cs="Arial"/>
          <w:b/>
          <w:bCs/>
          <w:sz w:val="24"/>
          <w:szCs w:val="24"/>
        </w:rPr>
        <w:t xml:space="preserve">Mutual Information (MI): </w:t>
      </w:r>
      <w:r>
        <w:rPr>
          <w:rFonts w:ascii="Arial" w:hAnsi="Arial" w:cs="Arial"/>
          <w:sz w:val="24"/>
          <w:szCs w:val="24"/>
        </w:rPr>
        <w:t>this is the measure of dependence between two random variables such as X and Y, it quantifies the transfer of information between the two variables without giving an estimate of causality (Cover &amp; Thomas, 2006). In broader terms MI can be thought of as the correlation between two variables. It can be denoted as MI(</w:t>
      </w:r>
      <w:proofErr w:type="gramStart"/>
      <w:r>
        <w:rPr>
          <w:rFonts w:ascii="Arial" w:hAnsi="Arial" w:cs="Arial"/>
          <w:sz w:val="24"/>
          <w:szCs w:val="24"/>
        </w:rPr>
        <w:t>X;Y</w:t>
      </w:r>
      <w:proofErr w:type="gramEnd"/>
      <w:r>
        <w:rPr>
          <w:rFonts w:ascii="Arial" w:hAnsi="Arial" w:cs="Arial"/>
          <w:sz w:val="24"/>
          <w:szCs w:val="24"/>
        </w:rPr>
        <w:t>). It is calculated as follows:</w:t>
      </w:r>
    </w:p>
    <w:p w14:paraId="51714C5A" w14:textId="77777777" w:rsidR="00CF39ED" w:rsidRDefault="00CF39ED" w:rsidP="00CF39ED">
      <w:pPr>
        <w:spacing w:line="360" w:lineRule="auto"/>
        <w:jc w:val="both"/>
        <w:rPr>
          <w:rFonts w:ascii="Arial" w:hAnsi="Arial" w:cs="Arial"/>
          <w:sz w:val="24"/>
          <w:szCs w:val="24"/>
        </w:rPr>
      </w:pPr>
      <w:r>
        <w:rPr>
          <w:noProof/>
        </w:rPr>
        <w:drawing>
          <wp:inline distT="114300" distB="114300" distL="114300" distR="114300" wp14:anchorId="5512252B" wp14:editId="3428D064">
            <wp:extent cx="4643438" cy="38695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43438" cy="386953"/>
                    </a:xfrm>
                    <a:prstGeom prst="rect">
                      <a:avLst/>
                    </a:prstGeom>
                    <a:ln/>
                  </pic:spPr>
                </pic:pic>
              </a:graphicData>
            </a:graphic>
          </wp:inline>
        </w:drawing>
      </w:r>
    </w:p>
    <w:p w14:paraId="028AEC8B" w14:textId="77777777" w:rsidR="00CF39ED" w:rsidRDefault="00CF39ED" w:rsidP="00CF39ED">
      <w:pPr>
        <w:spacing w:line="360" w:lineRule="auto"/>
        <w:jc w:val="both"/>
        <w:rPr>
          <w:rFonts w:ascii="Arial" w:hAnsi="Arial" w:cs="Arial"/>
          <w:sz w:val="24"/>
          <w:szCs w:val="24"/>
        </w:rPr>
      </w:pPr>
      <w:r>
        <w:rPr>
          <w:rFonts w:ascii="Arial" w:hAnsi="Arial" w:cs="Arial"/>
          <w:sz w:val="24"/>
          <w:szCs w:val="24"/>
        </w:rPr>
        <w:t xml:space="preserve">Therefore, we need Shannon entropy for X, Y and the joint entropy of X and Y. Traditionally the conditional entropy H(X/Y) is used, however, this is harder to calculate and as seen below not required for this report. </w:t>
      </w:r>
    </w:p>
    <w:p w14:paraId="26A14DCA" w14:textId="77777777" w:rsidR="00CF39ED" w:rsidRDefault="00CF39ED" w:rsidP="00CF39ED">
      <w:pPr>
        <w:spacing w:line="360" w:lineRule="auto"/>
        <w:jc w:val="both"/>
        <w:rPr>
          <w:rFonts w:ascii="Arial" w:hAnsi="Arial" w:cs="Arial"/>
          <w:sz w:val="24"/>
          <w:szCs w:val="24"/>
        </w:rPr>
      </w:pPr>
      <w:r>
        <w:rPr>
          <w:rFonts w:ascii="Arial" w:hAnsi="Arial" w:cs="Arial"/>
          <w:b/>
          <w:bCs/>
          <w:sz w:val="24"/>
          <w:szCs w:val="24"/>
        </w:rPr>
        <w:t>Causal Mutual Information (</w:t>
      </w:r>
      <w:proofErr w:type="spellStart"/>
      <w:r>
        <w:rPr>
          <w:rFonts w:ascii="Arial" w:hAnsi="Arial" w:cs="Arial"/>
          <w:b/>
          <w:bCs/>
          <w:sz w:val="24"/>
          <w:szCs w:val="24"/>
        </w:rPr>
        <w:t>CaMI</w:t>
      </w:r>
      <w:proofErr w:type="spellEnd"/>
      <w:r>
        <w:rPr>
          <w:rFonts w:ascii="Arial" w:hAnsi="Arial" w:cs="Arial"/>
          <w:b/>
          <w:bCs/>
          <w:sz w:val="24"/>
          <w:szCs w:val="24"/>
        </w:rPr>
        <w:t xml:space="preserve">): </w:t>
      </w:r>
      <w:r>
        <w:rPr>
          <w:rFonts w:ascii="Arial" w:hAnsi="Arial" w:cs="Arial"/>
          <w:sz w:val="24"/>
          <w:szCs w:val="24"/>
        </w:rPr>
        <w:t xml:space="preserve">this is a novel quantity (first described in Bianco-Martinez &amp; Baptista, 2018) that makes the inference of causality easier, without the need of conditional probabilities to be calculated. To compute this quantity, one </w:t>
      </w:r>
      <w:r>
        <w:rPr>
          <w:rFonts w:ascii="Arial" w:hAnsi="Arial" w:cs="Arial"/>
          <w:sz w:val="24"/>
          <w:szCs w:val="24"/>
        </w:rPr>
        <w:lastRenderedPageBreak/>
        <w:t xml:space="preserve">requires the Markov symbolic sequences partitioning of the data as described in Bianco-Martinez &amp; Baptista, 2018 and </w:t>
      </w:r>
      <w:proofErr w:type="spellStart"/>
      <w:r>
        <w:rPr>
          <w:rFonts w:ascii="Arial" w:hAnsi="Arial" w:cs="Arial"/>
          <w:sz w:val="24"/>
          <w:szCs w:val="24"/>
        </w:rPr>
        <w:t>Rubido</w:t>
      </w:r>
      <w:proofErr w:type="spellEnd"/>
      <w:r>
        <w:rPr>
          <w:rFonts w:ascii="Arial" w:hAnsi="Arial" w:cs="Arial"/>
          <w:sz w:val="24"/>
          <w:szCs w:val="24"/>
        </w:rPr>
        <w:t xml:space="preserve"> </w:t>
      </w:r>
      <w:r>
        <w:rPr>
          <w:rFonts w:ascii="Arial" w:hAnsi="Arial" w:cs="Arial"/>
          <w:i/>
          <w:iCs/>
          <w:sz w:val="24"/>
          <w:szCs w:val="24"/>
        </w:rPr>
        <w:t>et al,</w:t>
      </w:r>
      <w:r>
        <w:rPr>
          <w:rFonts w:ascii="Arial" w:hAnsi="Arial" w:cs="Arial"/>
          <w:sz w:val="24"/>
          <w:szCs w:val="24"/>
        </w:rPr>
        <w:t xml:space="preserve"> 2018. In practise, this reduces the dimensionality of complicated mathematical approaches by applying a simplistic symbolic encoding: first the data is separated at a given threshold (in the presented work we have chosen 0.5), where values smaller than 0.5 are encoded as 0 and values larger or equal to 0.5 are encoded as 1, this is known as order 1 partition and means that only 1 bit of information is required to present half of the data. Following orders of partitioning can be made by aggregating the 0s and 1s in pairs in the order of the time series, then sets of permutations in 3s and 4s and so on. Order of symbolic sequences is denoted with L. For a more concrete example see Borges </w:t>
      </w:r>
      <w:r>
        <w:rPr>
          <w:rFonts w:ascii="Arial" w:hAnsi="Arial" w:cs="Arial"/>
          <w:i/>
          <w:iCs/>
          <w:sz w:val="24"/>
          <w:szCs w:val="24"/>
        </w:rPr>
        <w:t xml:space="preserve">et al, </w:t>
      </w:r>
      <w:r>
        <w:rPr>
          <w:rFonts w:ascii="Arial" w:hAnsi="Arial" w:cs="Arial"/>
          <w:sz w:val="24"/>
          <w:szCs w:val="24"/>
        </w:rPr>
        <w:t xml:space="preserve">2018 and Fig 1. It is important to note that the number of possible permutations grows exponentially with the order L. Therefore, for L=4, for example, the number of possible partitions is 4^2=16. </w:t>
      </w:r>
      <w:proofErr w:type="spellStart"/>
      <w:r>
        <w:rPr>
          <w:rFonts w:ascii="Arial" w:hAnsi="Arial" w:cs="Arial"/>
          <w:sz w:val="24"/>
          <w:szCs w:val="24"/>
        </w:rPr>
        <w:t>CaMI</w:t>
      </w:r>
      <w:proofErr w:type="spellEnd"/>
      <w:r>
        <w:rPr>
          <w:rFonts w:ascii="Arial" w:hAnsi="Arial" w:cs="Arial"/>
          <w:sz w:val="24"/>
          <w:szCs w:val="24"/>
        </w:rPr>
        <w:t xml:space="preserve"> is calculated by the following equation:</w:t>
      </w:r>
    </w:p>
    <w:p w14:paraId="15320831" w14:textId="77777777" w:rsidR="00CF39ED" w:rsidRPr="00A22679" w:rsidRDefault="00CF39ED" w:rsidP="00CF39ED">
      <w:pPr>
        <w:spacing w:line="360" w:lineRule="auto"/>
        <w:jc w:val="both"/>
        <w:rPr>
          <w:rFonts w:ascii="Arial" w:hAnsi="Arial" w:cs="Arial"/>
          <w:sz w:val="24"/>
          <w:szCs w:val="24"/>
        </w:rPr>
      </w:pPr>
      <w:r w:rsidRPr="00A22679">
        <w:rPr>
          <w:rFonts w:ascii="Arial" w:hAnsi="Arial" w:cs="Arial"/>
          <w:noProof/>
          <w:sz w:val="24"/>
          <w:szCs w:val="24"/>
        </w:rPr>
        <w:drawing>
          <wp:inline distT="0" distB="0" distL="0" distR="0" wp14:anchorId="1CCF6A24" wp14:editId="5C27AA70">
            <wp:extent cx="2065020" cy="487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020" cy="487680"/>
                    </a:xfrm>
                    <a:prstGeom prst="rect">
                      <a:avLst/>
                    </a:prstGeom>
                    <a:noFill/>
                    <a:ln>
                      <a:noFill/>
                    </a:ln>
                  </pic:spPr>
                </pic:pic>
              </a:graphicData>
            </a:graphic>
          </wp:inline>
        </w:drawing>
      </w:r>
    </w:p>
    <w:p w14:paraId="3B71070F" w14:textId="77777777" w:rsidR="00CF39ED" w:rsidRPr="00A22679" w:rsidRDefault="00CF39ED" w:rsidP="00CF39ED">
      <w:pPr>
        <w:spacing w:line="360" w:lineRule="auto"/>
        <w:jc w:val="both"/>
        <w:rPr>
          <w:rFonts w:ascii="Arial" w:hAnsi="Arial" w:cs="Arial"/>
          <w:sz w:val="24"/>
          <w:szCs w:val="24"/>
        </w:rPr>
      </w:pPr>
      <w:r>
        <w:rPr>
          <w:rFonts w:ascii="Arial" w:hAnsi="Arial" w:cs="Arial"/>
          <w:sz w:val="24"/>
          <w:szCs w:val="24"/>
        </w:rPr>
        <w:t xml:space="preserve">In practice to calculate </w:t>
      </w:r>
      <w:proofErr w:type="spellStart"/>
      <w:r>
        <w:rPr>
          <w:rFonts w:ascii="Arial" w:hAnsi="Arial" w:cs="Arial"/>
          <w:sz w:val="24"/>
          <w:szCs w:val="24"/>
        </w:rPr>
        <w:t>CaMI</w:t>
      </w:r>
      <w:r>
        <w:rPr>
          <w:rFonts w:ascii="Arial" w:hAnsi="Arial" w:cs="Arial"/>
          <w:sz w:val="24"/>
          <w:szCs w:val="24"/>
          <w:vertAlign w:val="subscript"/>
        </w:rPr>
        <w:t>X</w:t>
      </w:r>
      <w:proofErr w:type="spellEnd"/>
      <w:r>
        <w:rPr>
          <w:rFonts w:ascii="Arial" w:hAnsi="Arial" w:cs="Arial"/>
          <w:sz w:val="24"/>
          <w:szCs w:val="24"/>
          <w:vertAlign w:val="subscript"/>
        </w:rPr>
        <w:t>-&gt;Y</w:t>
      </w:r>
      <w:r>
        <w:rPr>
          <w:rFonts w:ascii="Arial" w:hAnsi="Arial" w:cs="Arial"/>
          <w:sz w:val="24"/>
          <w:szCs w:val="24"/>
        </w:rPr>
        <w:t xml:space="preserve">, one simply needs to calculate the MI of symbolic sequences of length L for the variable X and symbolic sequences of length 2*L for variable Y. This rule can be used to calculate </w:t>
      </w:r>
      <w:proofErr w:type="spellStart"/>
      <w:r>
        <w:rPr>
          <w:rFonts w:ascii="Arial" w:hAnsi="Arial" w:cs="Arial"/>
          <w:sz w:val="24"/>
          <w:szCs w:val="24"/>
        </w:rPr>
        <w:t>CaMI</w:t>
      </w:r>
      <w:r>
        <w:rPr>
          <w:rFonts w:ascii="Arial" w:hAnsi="Arial" w:cs="Arial"/>
          <w:sz w:val="24"/>
          <w:szCs w:val="24"/>
          <w:vertAlign w:val="subscript"/>
        </w:rPr>
        <w:t>Y</w:t>
      </w:r>
      <w:proofErr w:type="spellEnd"/>
      <w:r>
        <w:rPr>
          <w:rFonts w:ascii="Arial" w:hAnsi="Arial" w:cs="Arial"/>
          <w:sz w:val="24"/>
          <w:szCs w:val="24"/>
          <w:vertAlign w:val="subscript"/>
        </w:rPr>
        <w:t>-&gt;X</w:t>
      </w:r>
      <w:r>
        <w:rPr>
          <w:rFonts w:ascii="Arial" w:hAnsi="Arial" w:cs="Arial"/>
          <w:sz w:val="24"/>
          <w:szCs w:val="24"/>
        </w:rPr>
        <w:t xml:space="preserve"> where the symbolic sequences of X and Y are 2*L and L respectively (Bianco-Martinez &amp; Baptista, 2018). </w:t>
      </w:r>
    </w:p>
    <w:p w14:paraId="7A289A52" w14:textId="77777777" w:rsidR="00CF39ED" w:rsidRPr="00EE6102" w:rsidRDefault="00CF39ED" w:rsidP="00CF39ED">
      <w:pPr>
        <w:spacing w:line="240" w:lineRule="auto"/>
        <w:jc w:val="both"/>
        <w:rPr>
          <w:rFonts w:ascii="Arial" w:hAnsi="Arial" w:cs="Arial"/>
          <w:color w:val="000000" w:themeColor="text1"/>
          <w:sz w:val="20"/>
          <w:szCs w:val="20"/>
        </w:rPr>
      </w:pPr>
      <w:r>
        <w:rPr>
          <w:noProof/>
        </w:rPr>
        <w:lastRenderedPageBreak/>
        <w:drawing>
          <wp:inline distT="0" distB="0" distL="0" distR="0" wp14:anchorId="78C26FD6" wp14:editId="56496D30">
            <wp:extent cx="5210175" cy="3533775"/>
            <wp:effectExtent l="0" t="0" r="9525" b="9525"/>
            <wp:docPr id="6" name="Picture 5">
              <a:extLst xmlns:a="http://schemas.openxmlformats.org/drawingml/2006/main">
                <a:ext uri="{FF2B5EF4-FFF2-40B4-BE49-F238E27FC236}">
                  <a16:creationId xmlns:a16="http://schemas.microsoft.com/office/drawing/2014/main" id="{5E25D10E-2632-9149-8B39-6317899A91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25D10E-2632-9149-8B39-6317899A9119}"/>
                        </a:ext>
                      </a:extLst>
                    </pic:cNvPr>
                    <pic:cNvPicPr>
                      <a:picLocks noChangeAspect="1"/>
                    </pic:cNvPicPr>
                  </pic:nvPicPr>
                  <pic:blipFill>
                    <a:blip r:embed="rId7"/>
                    <a:stretch>
                      <a:fillRect/>
                    </a:stretch>
                  </pic:blipFill>
                  <pic:spPr>
                    <a:xfrm>
                      <a:off x="0" y="0"/>
                      <a:ext cx="5210175" cy="3533775"/>
                    </a:xfrm>
                    <a:prstGeom prst="rect">
                      <a:avLst/>
                    </a:prstGeom>
                  </pic:spPr>
                </pic:pic>
              </a:graphicData>
            </a:graphic>
          </wp:inline>
        </w:drawing>
      </w:r>
      <w:r>
        <w:rPr>
          <w:rFonts w:ascii="Arial" w:hAnsi="Arial" w:cs="Arial"/>
          <w:b/>
          <w:bCs/>
          <w:color w:val="4472C4" w:themeColor="accent1"/>
          <w:sz w:val="28"/>
          <w:szCs w:val="28"/>
        </w:rPr>
        <w:br/>
      </w:r>
      <w:r w:rsidRPr="00EE6102">
        <w:rPr>
          <w:rFonts w:ascii="Arial" w:hAnsi="Arial" w:cs="Arial"/>
          <w:b/>
          <w:bCs/>
          <w:color w:val="000000" w:themeColor="text1"/>
          <w:sz w:val="20"/>
          <w:szCs w:val="20"/>
        </w:rPr>
        <w:t>Figure 1</w:t>
      </w:r>
      <w:r>
        <w:rPr>
          <w:rFonts w:ascii="Arial" w:hAnsi="Arial" w:cs="Arial"/>
          <w:color w:val="000000" w:themeColor="text1"/>
          <w:sz w:val="20"/>
          <w:szCs w:val="20"/>
        </w:rPr>
        <w:t xml:space="preserve">: Directly taken from </w:t>
      </w:r>
      <w:proofErr w:type="spellStart"/>
      <w:r>
        <w:rPr>
          <w:rFonts w:ascii="Arial" w:hAnsi="Arial" w:cs="Arial"/>
          <w:color w:val="000000" w:themeColor="text1"/>
          <w:sz w:val="20"/>
          <w:szCs w:val="20"/>
        </w:rPr>
        <w:t>Boges</w:t>
      </w:r>
      <w:proofErr w:type="spellEnd"/>
      <w:r>
        <w:rPr>
          <w:rFonts w:ascii="Arial" w:hAnsi="Arial" w:cs="Arial"/>
          <w:color w:val="000000" w:themeColor="text1"/>
          <w:sz w:val="20"/>
          <w:szCs w:val="20"/>
        </w:rPr>
        <w:t xml:space="preserve"> </w:t>
      </w:r>
      <w:r>
        <w:rPr>
          <w:rFonts w:ascii="Arial" w:hAnsi="Arial" w:cs="Arial"/>
          <w:i/>
          <w:iCs/>
          <w:color w:val="000000" w:themeColor="text1"/>
          <w:sz w:val="20"/>
          <w:szCs w:val="20"/>
        </w:rPr>
        <w:t xml:space="preserve">et al, </w:t>
      </w:r>
      <w:r>
        <w:rPr>
          <w:rFonts w:ascii="Arial" w:hAnsi="Arial" w:cs="Arial"/>
          <w:color w:val="000000" w:themeColor="text1"/>
          <w:sz w:val="20"/>
          <w:szCs w:val="20"/>
        </w:rPr>
        <w:t xml:space="preserve">2018, this is an example of partitioning. As it can be seen the figure above, L denotes the order of partitioning and each consecutive symbolic encoding is taken as the number of L elements of the first order partitioning. </w:t>
      </w:r>
    </w:p>
    <w:p w14:paraId="02B52DC2" w14:textId="77777777" w:rsidR="00CF39ED" w:rsidRDefault="00CF39ED" w:rsidP="00CF39ED">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Transfer Entropy (TE):</w:t>
      </w:r>
      <w:r>
        <w:rPr>
          <w:rFonts w:ascii="Arial" w:hAnsi="Arial" w:cs="Arial"/>
          <w:color w:val="000000" w:themeColor="text1"/>
          <w:sz w:val="24"/>
          <w:szCs w:val="24"/>
        </w:rPr>
        <w:t xml:space="preserve"> is a statistic that measures the amount and directional flow of information between 2 random events (Schreiber, 2000), in this report we will consider those to be X and Y. TE is defined as follows:</w:t>
      </w:r>
    </w:p>
    <w:p w14:paraId="7BA92997" w14:textId="77777777" w:rsidR="00CF39ED" w:rsidRDefault="00CF39ED" w:rsidP="00CF39ED">
      <w:pPr>
        <w:spacing w:line="360" w:lineRule="auto"/>
        <w:jc w:val="both"/>
        <w:rPr>
          <w:rFonts w:ascii="Arial" w:hAnsi="Arial" w:cs="Arial"/>
          <w:color w:val="000000" w:themeColor="text1"/>
          <w:sz w:val="24"/>
          <w:szCs w:val="24"/>
        </w:rPr>
      </w:pPr>
      <w:r w:rsidRPr="00BC4DED">
        <w:rPr>
          <w:rFonts w:ascii="Arial" w:hAnsi="Arial" w:cs="Arial"/>
          <w:noProof/>
          <w:color w:val="000000" w:themeColor="text1"/>
          <w:sz w:val="24"/>
          <w:szCs w:val="24"/>
        </w:rPr>
        <w:drawing>
          <wp:inline distT="0" distB="0" distL="0" distR="0" wp14:anchorId="59EE9B6F" wp14:editId="31CDD8BA">
            <wp:extent cx="187452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381000"/>
                    </a:xfrm>
                    <a:prstGeom prst="rect">
                      <a:avLst/>
                    </a:prstGeom>
                    <a:noFill/>
                    <a:ln>
                      <a:noFill/>
                    </a:ln>
                  </pic:spPr>
                </pic:pic>
              </a:graphicData>
            </a:graphic>
          </wp:inline>
        </w:drawing>
      </w:r>
    </w:p>
    <w:p w14:paraId="23AD75F4" w14:textId="77777777" w:rsidR="00CF39ED" w:rsidRDefault="00CF39ED" w:rsidP="00CF39ED">
      <w:pPr>
        <w:spacing w:line="360" w:lineRule="auto"/>
        <w:jc w:val="both"/>
        <w:rPr>
          <w:rFonts w:ascii="Arial" w:hAnsi="Arial" w:cs="Arial"/>
          <w:sz w:val="24"/>
          <w:szCs w:val="24"/>
        </w:rPr>
      </w:pPr>
      <w:r>
        <w:rPr>
          <w:rFonts w:ascii="Arial" w:hAnsi="Arial" w:cs="Arial"/>
          <w:color w:val="000000" w:themeColor="text1"/>
          <w:sz w:val="24"/>
          <w:szCs w:val="24"/>
        </w:rPr>
        <w:t xml:space="preserve">However, considering the information provided above and the works of </w:t>
      </w:r>
      <w:r>
        <w:rPr>
          <w:rFonts w:ascii="Arial" w:hAnsi="Arial" w:cs="Arial"/>
          <w:sz w:val="24"/>
          <w:szCs w:val="24"/>
        </w:rPr>
        <w:t xml:space="preserve">Bianco-Martinez &amp; Baptista, 2018 and </w:t>
      </w:r>
      <w:proofErr w:type="spellStart"/>
      <w:r>
        <w:rPr>
          <w:rFonts w:ascii="Arial" w:hAnsi="Arial" w:cs="Arial"/>
          <w:sz w:val="24"/>
          <w:szCs w:val="24"/>
        </w:rPr>
        <w:t>Rubido</w:t>
      </w:r>
      <w:proofErr w:type="spellEnd"/>
      <w:r>
        <w:rPr>
          <w:rFonts w:ascii="Arial" w:hAnsi="Arial" w:cs="Arial"/>
          <w:sz w:val="24"/>
          <w:szCs w:val="24"/>
        </w:rPr>
        <w:t xml:space="preserve"> </w:t>
      </w:r>
      <w:r>
        <w:rPr>
          <w:rFonts w:ascii="Arial" w:hAnsi="Arial" w:cs="Arial"/>
          <w:i/>
          <w:iCs/>
          <w:sz w:val="24"/>
          <w:szCs w:val="24"/>
        </w:rPr>
        <w:t>et al,</w:t>
      </w:r>
      <w:r>
        <w:rPr>
          <w:rFonts w:ascii="Arial" w:hAnsi="Arial" w:cs="Arial"/>
          <w:sz w:val="24"/>
          <w:szCs w:val="24"/>
        </w:rPr>
        <w:t xml:space="preserve"> 2018, it can be shown that TE can also be calculated using the following equation:</w:t>
      </w:r>
    </w:p>
    <w:p w14:paraId="5092D201" w14:textId="77777777" w:rsidR="00CF39ED" w:rsidRDefault="00CF39ED" w:rsidP="00CF39ED">
      <w:pPr>
        <w:spacing w:line="360" w:lineRule="auto"/>
        <w:jc w:val="both"/>
        <w:rPr>
          <w:rFonts w:ascii="Arial" w:eastAsiaTheme="minorEastAsia" w:hAnsi="Arial" w:cs="Arial"/>
          <w:iCs/>
          <w:color w:val="000000" w:themeColor="text1"/>
          <w:sz w:val="32"/>
          <w:szCs w:val="32"/>
        </w:rPr>
      </w:pPr>
      <w:r w:rsidRPr="00BC4DED">
        <w:rPr>
          <w:rFonts w:ascii="Arial" w:hAnsi="Arial" w:cs="Arial"/>
          <w:color w:val="000000" w:themeColor="text1"/>
          <w:sz w:val="32"/>
          <w:szCs w:val="32"/>
        </w:rPr>
        <w:t xml:space="preserve"> </w:t>
      </w:r>
      <m:oMath>
        <m:r>
          <w:rPr>
            <w:rFonts w:ascii="Cambria Math" w:hAnsi="Cambria Math" w:cs="Arial"/>
            <w:color w:val="000000" w:themeColor="text1"/>
            <w:sz w:val="32"/>
            <w:szCs w:val="32"/>
          </w:rPr>
          <m:t>T</m:t>
        </m:r>
        <m:sSub>
          <m:sSubPr>
            <m:ctrlPr>
              <w:rPr>
                <w:rFonts w:ascii="Cambria Math" w:hAnsi="Cambria Math" w:cs="Arial"/>
                <w:i/>
                <w:iCs/>
                <w:color w:val="000000" w:themeColor="text1"/>
                <w:sz w:val="32"/>
                <w:szCs w:val="32"/>
              </w:rPr>
            </m:ctrlPr>
          </m:sSubPr>
          <m:e>
            <m:r>
              <w:rPr>
                <w:rFonts w:ascii="Cambria Math" w:hAnsi="Cambria Math" w:cs="Arial"/>
                <w:color w:val="000000" w:themeColor="text1"/>
                <w:sz w:val="32"/>
                <w:szCs w:val="32"/>
              </w:rPr>
              <m:t>E</m:t>
            </m:r>
          </m:e>
          <m:sub>
            <m:r>
              <w:rPr>
                <w:rFonts w:ascii="Cambria Math" w:hAnsi="Cambria Math" w:cs="Arial"/>
                <w:color w:val="000000" w:themeColor="text1"/>
                <w:sz w:val="32"/>
                <w:szCs w:val="32"/>
              </w:rPr>
              <m:t>X→Y</m:t>
            </m:r>
          </m:sub>
        </m:sSub>
        <m:r>
          <w:rPr>
            <w:rFonts w:ascii="Cambria Math" w:hAnsi="Cambria Math" w:cs="Arial"/>
            <w:color w:val="000000" w:themeColor="text1"/>
            <w:sz w:val="32"/>
            <w:szCs w:val="32"/>
          </w:rPr>
          <m:t>=CaM</m:t>
        </m:r>
        <m:sSub>
          <m:sSubPr>
            <m:ctrlPr>
              <w:rPr>
                <w:rFonts w:ascii="Cambria Math" w:hAnsi="Cambria Math" w:cs="Arial"/>
                <w:i/>
                <w:iCs/>
                <w:color w:val="000000" w:themeColor="text1"/>
                <w:sz w:val="32"/>
                <w:szCs w:val="32"/>
              </w:rPr>
            </m:ctrlPr>
          </m:sSubPr>
          <m:e>
            <m:r>
              <w:rPr>
                <w:rFonts w:ascii="Cambria Math" w:hAnsi="Cambria Math" w:cs="Arial"/>
                <w:color w:val="000000" w:themeColor="text1"/>
                <w:sz w:val="32"/>
                <w:szCs w:val="32"/>
              </w:rPr>
              <m:t>I</m:t>
            </m:r>
          </m:e>
          <m:sub>
            <m:r>
              <w:rPr>
                <w:rFonts w:ascii="Cambria Math" w:hAnsi="Cambria Math" w:cs="Arial"/>
                <w:color w:val="000000" w:themeColor="text1"/>
                <w:sz w:val="32"/>
                <w:szCs w:val="32"/>
              </w:rPr>
              <m:t>X→Y</m:t>
            </m:r>
          </m:sub>
        </m:sSub>
        <m:r>
          <w:rPr>
            <w:rFonts w:ascii="Cambria Math" w:hAnsi="Cambria Math" w:cs="Arial"/>
            <w:color w:val="000000" w:themeColor="text1"/>
            <w:sz w:val="32"/>
            <w:szCs w:val="32"/>
          </w:rPr>
          <m:t>-MI</m:t>
        </m:r>
        <m:d>
          <m:dPr>
            <m:ctrlPr>
              <w:rPr>
                <w:rFonts w:ascii="Cambria Math" w:hAnsi="Cambria Math" w:cs="Arial"/>
                <w:i/>
                <w:iCs/>
                <w:color w:val="000000" w:themeColor="text1"/>
                <w:sz w:val="32"/>
                <w:szCs w:val="32"/>
              </w:rPr>
            </m:ctrlPr>
          </m:dPr>
          <m:e>
            <m:r>
              <w:rPr>
                <w:rFonts w:ascii="Cambria Math" w:hAnsi="Cambria Math" w:cs="Arial"/>
                <w:color w:val="000000" w:themeColor="text1"/>
                <w:sz w:val="32"/>
                <w:szCs w:val="32"/>
              </w:rPr>
              <m:t>X;Y</m:t>
            </m:r>
          </m:e>
        </m:d>
      </m:oMath>
    </w:p>
    <w:p w14:paraId="2B8F4B54" w14:textId="77777777" w:rsidR="00CF39ED" w:rsidRDefault="00CF39ED" w:rsidP="00CF39ED">
      <w:pPr>
        <w:spacing w:line="360" w:lineRule="auto"/>
        <w:jc w:val="both"/>
        <w:rPr>
          <w:rFonts w:ascii="Arial" w:eastAsiaTheme="minorEastAsia" w:hAnsi="Arial" w:cs="Arial"/>
          <w:iCs/>
          <w:color w:val="000000" w:themeColor="text1"/>
          <w:sz w:val="24"/>
          <w:szCs w:val="24"/>
        </w:rPr>
      </w:pPr>
      <w:r>
        <w:rPr>
          <w:rFonts w:ascii="Arial" w:eastAsiaTheme="minorEastAsia" w:hAnsi="Arial" w:cs="Arial"/>
          <w:iCs/>
          <w:color w:val="000000" w:themeColor="text1"/>
          <w:sz w:val="24"/>
          <w:szCs w:val="24"/>
        </w:rPr>
        <w:t xml:space="preserve">Thus, removing the need to deal with conditional probabilities and making the calculations much more straightforward. It is important to note that in network systems and graph theory, it can be shown that there is a threshold, which helps infer the connections between different nodes (as described in </w:t>
      </w:r>
      <w:proofErr w:type="spellStart"/>
      <w:r>
        <w:rPr>
          <w:rFonts w:ascii="Arial" w:eastAsiaTheme="minorEastAsia" w:hAnsi="Arial" w:cs="Arial"/>
          <w:iCs/>
          <w:color w:val="000000" w:themeColor="text1"/>
          <w:sz w:val="24"/>
          <w:szCs w:val="24"/>
        </w:rPr>
        <w:t>Rubido</w:t>
      </w:r>
      <w:proofErr w:type="spellEnd"/>
      <w:r>
        <w:rPr>
          <w:rFonts w:ascii="Arial" w:eastAsiaTheme="minorEastAsia" w:hAnsi="Arial" w:cs="Arial"/>
          <w:iCs/>
          <w:color w:val="000000" w:themeColor="text1"/>
          <w:sz w:val="24"/>
          <w:szCs w:val="24"/>
        </w:rPr>
        <w:t xml:space="preserve"> </w:t>
      </w:r>
      <w:r>
        <w:rPr>
          <w:rFonts w:ascii="Arial" w:eastAsiaTheme="minorEastAsia" w:hAnsi="Arial" w:cs="Arial"/>
          <w:i/>
          <w:color w:val="000000" w:themeColor="text1"/>
          <w:sz w:val="24"/>
          <w:szCs w:val="24"/>
        </w:rPr>
        <w:t>et al,</w:t>
      </w:r>
      <w:r>
        <w:rPr>
          <w:rFonts w:ascii="Arial" w:eastAsiaTheme="minorEastAsia" w:hAnsi="Arial" w:cs="Arial"/>
          <w:iCs/>
          <w:color w:val="000000" w:themeColor="text1"/>
          <w:sz w:val="24"/>
          <w:szCs w:val="24"/>
        </w:rPr>
        <w:t xml:space="preserve"> 2014). In practice, this means that there are 2 clusters of TE values, where the higher values are used to infer the direct connection between different nodes.</w:t>
      </w:r>
    </w:p>
    <w:p w14:paraId="33499CA0" w14:textId="39CE588C" w:rsidR="00CF39ED" w:rsidRDefault="00CF39ED" w:rsidP="00CF39ED">
      <w:pPr>
        <w:spacing w:line="360" w:lineRule="auto"/>
        <w:jc w:val="both"/>
        <w:rPr>
          <w:rFonts w:ascii="Arial" w:eastAsiaTheme="minorEastAsia" w:hAnsi="Arial" w:cs="Arial"/>
          <w:iCs/>
          <w:color w:val="000000" w:themeColor="text1"/>
          <w:sz w:val="24"/>
          <w:szCs w:val="24"/>
        </w:rPr>
      </w:pPr>
      <w:r>
        <w:rPr>
          <w:rFonts w:ascii="Arial" w:eastAsiaTheme="minorEastAsia" w:hAnsi="Arial" w:cs="Arial"/>
          <w:b/>
          <w:bCs/>
          <w:iCs/>
          <w:color w:val="000000" w:themeColor="text1"/>
          <w:sz w:val="24"/>
          <w:szCs w:val="24"/>
        </w:rPr>
        <w:lastRenderedPageBreak/>
        <w:t xml:space="preserve">Directionality Index (DI): </w:t>
      </w:r>
      <w:r>
        <w:rPr>
          <w:rFonts w:ascii="Arial" w:eastAsiaTheme="minorEastAsia" w:hAnsi="Arial" w:cs="Arial"/>
          <w:iCs/>
          <w:color w:val="000000" w:themeColor="text1"/>
          <w:sz w:val="24"/>
          <w:szCs w:val="24"/>
        </w:rPr>
        <w:t>is a statistic measure of the directional flow of information from one node of a network to another. DI also measures the amount of information that flows from one node to the other. It is defined as follows:</w:t>
      </w:r>
    </w:p>
    <w:p w14:paraId="26E0713E" w14:textId="77777777" w:rsidR="001E0863" w:rsidRDefault="001E0863" w:rsidP="001E0863">
      <w:pPr>
        <w:spacing w:line="360" w:lineRule="auto"/>
        <w:jc w:val="both"/>
        <w:rPr>
          <w:rFonts w:ascii="Arial" w:eastAsiaTheme="minorEastAsia" w:hAnsi="Arial" w:cs="Arial"/>
          <w:iCs/>
          <w:color w:val="000000" w:themeColor="text1"/>
          <w:sz w:val="24"/>
          <w:szCs w:val="24"/>
        </w:rPr>
      </w:pPr>
      <w:r>
        <w:rPr>
          <w:rFonts w:ascii="Arial" w:eastAsiaTheme="minorEastAsia" w:hAnsi="Arial" w:cs="Arial"/>
          <w:iCs/>
          <w:color w:val="000000" w:themeColor="text1"/>
          <w:sz w:val="24"/>
          <w:szCs w:val="24"/>
        </w:rPr>
        <w:t>Since</w:t>
      </w:r>
    </w:p>
    <w:p w14:paraId="75015B4F" w14:textId="5B90EEFA" w:rsidR="001E0863" w:rsidRPr="001E0863" w:rsidRDefault="001E0863" w:rsidP="001E0863">
      <w:pPr>
        <w:spacing w:line="360" w:lineRule="auto"/>
        <w:jc w:val="center"/>
        <w:rPr>
          <w:rFonts w:ascii="Arial" w:eastAsiaTheme="minorEastAsia" w:hAnsi="Arial" w:cs="Arial"/>
          <w:iCs/>
          <w:color w:val="000000" w:themeColor="text1"/>
        </w:rPr>
      </w:pPr>
      <m:oMath>
        <m:r>
          <w:rPr>
            <w:rFonts w:ascii="Cambria Math" w:hAnsi="Cambria Math" w:cs="Arial"/>
            <w:color w:val="000000" w:themeColor="text1"/>
            <w:sz w:val="28"/>
            <w:szCs w:val="28"/>
          </w:rPr>
          <m:t>CaM</m:t>
        </m:r>
        <m:sSub>
          <m:sSubPr>
            <m:ctrlPr>
              <w:rPr>
                <w:rFonts w:ascii="Cambria Math" w:eastAsiaTheme="minorEastAsia" w:hAnsi="Cambria Math" w:cs="Arial"/>
                <w:i/>
                <w:iCs/>
                <w:color w:val="000000" w:themeColor="text1"/>
                <w:sz w:val="28"/>
                <w:szCs w:val="28"/>
              </w:rPr>
            </m:ctrlPr>
          </m:sSubPr>
          <m:e>
            <m:r>
              <w:rPr>
                <w:rFonts w:ascii="Cambria Math" w:hAnsi="Cambria Math" w:cs="Arial"/>
                <w:color w:val="000000" w:themeColor="text1"/>
                <w:sz w:val="28"/>
                <w:szCs w:val="28"/>
              </w:rPr>
              <m:t>I</m:t>
            </m:r>
          </m:e>
          <m:sub>
            <m:r>
              <w:rPr>
                <w:rFonts w:ascii="Cambria Math" w:hAnsi="Cambria Math" w:cs="Arial"/>
                <w:color w:val="000000" w:themeColor="text1"/>
                <w:sz w:val="28"/>
                <w:szCs w:val="28"/>
              </w:rPr>
              <m:t>X→Y</m:t>
            </m:r>
          </m:sub>
        </m:sSub>
        <m:r>
          <w:rPr>
            <w:rFonts w:ascii="Cambria Math" w:hAnsi="Cambria Math" w:cs="Arial"/>
            <w:color w:val="000000" w:themeColor="text1"/>
            <w:sz w:val="28"/>
            <w:szCs w:val="28"/>
          </w:rPr>
          <m:t>=T</m:t>
        </m:r>
        <m:sSub>
          <m:sSubPr>
            <m:ctrlPr>
              <w:rPr>
                <w:rFonts w:ascii="Cambria Math" w:eastAsiaTheme="minorEastAsia" w:hAnsi="Cambria Math" w:cs="Arial"/>
                <w:i/>
                <w:iCs/>
                <w:color w:val="000000" w:themeColor="text1"/>
                <w:sz w:val="28"/>
                <w:szCs w:val="28"/>
              </w:rPr>
            </m:ctrlPr>
          </m:sSubPr>
          <m:e>
            <m:r>
              <w:rPr>
                <w:rFonts w:ascii="Cambria Math" w:hAnsi="Cambria Math" w:cs="Arial"/>
                <w:color w:val="000000" w:themeColor="text1"/>
                <w:sz w:val="28"/>
                <w:szCs w:val="28"/>
              </w:rPr>
              <m:t>E</m:t>
            </m:r>
          </m:e>
          <m:sub>
            <m:r>
              <w:rPr>
                <w:rFonts w:ascii="Cambria Math" w:hAnsi="Cambria Math" w:cs="Arial"/>
                <w:color w:val="000000" w:themeColor="text1"/>
                <w:sz w:val="28"/>
                <w:szCs w:val="28"/>
              </w:rPr>
              <m:t>X→Y</m:t>
            </m:r>
          </m:sub>
        </m:sSub>
        <m:r>
          <w:rPr>
            <w:rFonts w:ascii="Cambria Math" w:hAnsi="Cambria Math" w:cs="Arial"/>
            <w:color w:val="000000" w:themeColor="text1"/>
            <w:sz w:val="28"/>
            <w:szCs w:val="28"/>
          </w:rPr>
          <m:t>+MI</m:t>
        </m:r>
        <m:d>
          <m:dPr>
            <m:ctrlPr>
              <w:rPr>
                <w:rFonts w:ascii="Cambria Math" w:eastAsiaTheme="minorEastAsia" w:hAnsi="Cambria Math" w:cs="Arial"/>
                <w:i/>
                <w:iCs/>
                <w:color w:val="000000" w:themeColor="text1"/>
                <w:sz w:val="28"/>
                <w:szCs w:val="28"/>
              </w:rPr>
            </m:ctrlPr>
          </m:dPr>
          <m:e>
            <m:r>
              <w:rPr>
                <w:rFonts w:ascii="Cambria Math" w:hAnsi="Cambria Math" w:cs="Arial"/>
                <w:color w:val="000000" w:themeColor="text1"/>
                <w:sz w:val="28"/>
                <w:szCs w:val="28"/>
              </w:rPr>
              <m:t>X;Y</m:t>
            </m:r>
          </m:e>
        </m:d>
      </m:oMath>
      <w:r>
        <w:rPr>
          <w:rFonts w:ascii="Arial" w:eastAsiaTheme="minorEastAsia" w:hAnsi="Arial" w:cs="Arial"/>
          <w:iCs/>
          <w:color w:val="000000" w:themeColor="text1"/>
          <w:sz w:val="28"/>
          <w:szCs w:val="28"/>
        </w:rPr>
        <w:t xml:space="preserve"> </w:t>
      </w:r>
      <w:r w:rsidRPr="001E0863">
        <w:rPr>
          <w:rFonts w:ascii="Arial" w:eastAsiaTheme="minorEastAsia" w:hAnsi="Arial" w:cs="Arial"/>
          <w:iCs/>
          <w:color w:val="000000" w:themeColor="text1"/>
          <w:sz w:val="24"/>
          <w:szCs w:val="24"/>
        </w:rPr>
        <w:t>and</w:t>
      </w:r>
    </w:p>
    <w:p w14:paraId="15D63E2B" w14:textId="622CD3D8" w:rsidR="001E0863" w:rsidRDefault="001E0863" w:rsidP="001E0863">
      <w:pPr>
        <w:spacing w:line="360" w:lineRule="auto"/>
        <w:jc w:val="center"/>
        <w:rPr>
          <w:rFonts w:ascii="Arial" w:eastAsiaTheme="minorEastAsia" w:hAnsi="Arial" w:cs="Arial"/>
          <w:iCs/>
          <w:color w:val="000000" w:themeColor="text1"/>
          <w:sz w:val="24"/>
          <w:szCs w:val="24"/>
        </w:rPr>
      </w:pPr>
      <w:r w:rsidRPr="001E0863">
        <w:rPr>
          <w:rFonts w:ascii="Arial" w:eastAsiaTheme="minorEastAsia" w:hAnsi="Arial" w:cs="Arial"/>
          <w:iCs/>
          <w:color w:val="000000" w:themeColor="text1"/>
          <w:sz w:val="32"/>
          <w:szCs w:val="32"/>
          <w:lang w:val="en-US"/>
        </w:rPr>
        <w:t xml:space="preserve">DI = </w:t>
      </w:r>
      <m:oMath>
        <m:r>
          <w:rPr>
            <w:rFonts w:ascii="Cambria Math" w:eastAsiaTheme="minorEastAsia" w:hAnsi="Cambria Math" w:cs="Arial"/>
            <w:color w:val="000000" w:themeColor="text1"/>
            <w:sz w:val="32"/>
            <w:szCs w:val="32"/>
          </w:rPr>
          <m:t>T</m:t>
        </m:r>
        <m:sSub>
          <m:sSubPr>
            <m:ctrlPr>
              <w:rPr>
                <w:rFonts w:ascii="Cambria Math" w:eastAsiaTheme="minorEastAsia" w:hAnsi="Cambria Math" w:cs="Arial"/>
                <w:i/>
                <w:iCs/>
                <w:color w:val="000000" w:themeColor="text1"/>
                <w:sz w:val="32"/>
                <w:szCs w:val="32"/>
              </w:rPr>
            </m:ctrlPr>
          </m:sSubPr>
          <m:e>
            <m:r>
              <w:rPr>
                <w:rFonts w:ascii="Cambria Math" w:eastAsiaTheme="minorEastAsia" w:hAnsi="Cambria Math" w:cs="Arial"/>
                <w:color w:val="000000" w:themeColor="text1"/>
                <w:sz w:val="32"/>
                <w:szCs w:val="32"/>
              </w:rPr>
              <m:t>E</m:t>
            </m:r>
          </m:e>
          <m:sub>
            <m:r>
              <w:rPr>
                <w:rFonts w:ascii="Cambria Math" w:eastAsiaTheme="minorEastAsia" w:hAnsi="Cambria Math" w:cs="Arial"/>
                <w:color w:val="000000" w:themeColor="text1"/>
                <w:sz w:val="32"/>
                <w:szCs w:val="32"/>
              </w:rPr>
              <m:t>X→Y</m:t>
            </m:r>
          </m:sub>
        </m:sSub>
      </m:oMath>
      <w:r w:rsidRPr="001E0863">
        <w:rPr>
          <w:rFonts w:ascii="Arial" w:eastAsiaTheme="minorEastAsia" w:hAnsi="Arial" w:cs="Arial"/>
          <w:iCs/>
          <w:color w:val="000000" w:themeColor="text1"/>
          <w:sz w:val="32"/>
          <w:szCs w:val="32"/>
          <w:lang w:val="en-US"/>
        </w:rPr>
        <w:t>-</w:t>
      </w:r>
      <w:r w:rsidRPr="001E0863">
        <w:rPr>
          <w:rFonts w:ascii="Arial" w:eastAsiaTheme="minorEastAsia" w:hAnsi="Arial" w:cs="Arial"/>
          <w:iCs/>
          <w:color w:val="000000" w:themeColor="text1"/>
          <w:sz w:val="32"/>
          <w:szCs w:val="32"/>
        </w:rPr>
        <w:t xml:space="preserve"> </w:t>
      </w:r>
      <m:oMath>
        <m:r>
          <w:rPr>
            <w:rFonts w:ascii="Cambria Math" w:eastAsiaTheme="minorEastAsia" w:hAnsi="Cambria Math" w:cs="Arial"/>
            <w:color w:val="000000" w:themeColor="text1"/>
            <w:sz w:val="32"/>
            <w:szCs w:val="32"/>
          </w:rPr>
          <m:t>T</m:t>
        </m:r>
        <m:sSub>
          <m:sSubPr>
            <m:ctrlPr>
              <w:rPr>
                <w:rFonts w:ascii="Cambria Math" w:eastAsiaTheme="minorEastAsia" w:hAnsi="Cambria Math" w:cs="Arial"/>
                <w:i/>
                <w:iCs/>
                <w:color w:val="000000" w:themeColor="text1"/>
                <w:sz w:val="32"/>
                <w:szCs w:val="32"/>
              </w:rPr>
            </m:ctrlPr>
          </m:sSubPr>
          <m:e>
            <m:r>
              <w:rPr>
                <w:rFonts w:ascii="Cambria Math" w:eastAsiaTheme="minorEastAsia" w:hAnsi="Cambria Math" w:cs="Arial"/>
                <w:color w:val="000000" w:themeColor="text1"/>
                <w:sz w:val="32"/>
                <w:szCs w:val="32"/>
              </w:rPr>
              <m:t>E</m:t>
            </m:r>
          </m:e>
          <m:sub>
            <m:r>
              <w:rPr>
                <w:rFonts w:ascii="Cambria Math" w:eastAsiaTheme="minorEastAsia" w:hAnsi="Cambria Math" w:cs="Arial"/>
                <w:color w:val="000000" w:themeColor="text1"/>
                <w:sz w:val="32"/>
                <w:szCs w:val="32"/>
              </w:rPr>
              <m:t>Y→X</m:t>
            </m:r>
          </m:sub>
        </m:sSub>
      </m:oMath>
      <w:r>
        <w:rPr>
          <w:rFonts w:ascii="Arial" w:eastAsiaTheme="minorEastAsia" w:hAnsi="Arial" w:cs="Arial"/>
          <w:iCs/>
          <w:color w:val="000000" w:themeColor="text1"/>
          <w:sz w:val="32"/>
          <w:szCs w:val="32"/>
        </w:rPr>
        <w:t xml:space="preserve">, </w:t>
      </w:r>
      <w:r w:rsidRPr="001E0863">
        <w:rPr>
          <w:rFonts w:ascii="Arial" w:eastAsiaTheme="minorEastAsia" w:hAnsi="Arial" w:cs="Arial"/>
          <w:iCs/>
          <w:color w:val="000000" w:themeColor="text1"/>
          <w:sz w:val="24"/>
          <w:szCs w:val="24"/>
        </w:rPr>
        <w:t>then it follows that</w:t>
      </w:r>
    </w:p>
    <w:p w14:paraId="3C27D35E" w14:textId="4022E5CA" w:rsidR="001E0863" w:rsidRPr="001E0863" w:rsidRDefault="001E0863" w:rsidP="00CF39ED">
      <w:pPr>
        <w:spacing w:line="360" w:lineRule="auto"/>
        <w:jc w:val="both"/>
        <w:rPr>
          <w:rFonts w:ascii="Arial" w:eastAsiaTheme="minorEastAsia" w:hAnsi="Arial" w:cs="Arial"/>
          <w:iCs/>
          <w:color w:val="000000" w:themeColor="text1"/>
          <w:sz w:val="32"/>
          <w:szCs w:val="32"/>
        </w:rPr>
      </w:pPr>
      <m:oMathPara>
        <m:oMath>
          <m:r>
            <w:rPr>
              <w:rFonts w:ascii="Cambria Math" w:eastAsiaTheme="minorEastAsia" w:hAnsi="Cambria Math" w:cs="Arial"/>
              <w:color w:val="000000" w:themeColor="text1"/>
              <w:sz w:val="32"/>
              <w:szCs w:val="32"/>
            </w:rPr>
            <m:t>DI= CaM</m:t>
          </m:r>
          <m:sSub>
            <m:sSubPr>
              <m:ctrlPr>
                <w:rPr>
                  <w:rFonts w:ascii="Cambria Math" w:eastAsiaTheme="minorEastAsia" w:hAnsi="Cambria Math" w:cs="Arial"/>
                  <w:i/>
                  <w:iCs/>
                  <w:color w:val="000000" w:themeColor="text1"/>
                  <w:sz w:val="32"/>
                  <w:szCs w:val="32"/>
                </w:rPr>
              </m:ctrlPr>
            </m:sSubPr>
            <m:e>
              <m:r>
                <w:rPr>
                  <w:rFonts w:ascii="Cambria Math" w:eastAsiaTheme="minorEastAsia" w:hAnsi="Cambria Math" w:cs="Arial"/>
                  <w:color w:val="000000" w:themeColor="text1"/>
                  <w:sz w:val="32"/>
                  <w:szCs w:val="32"/>
                </w:rPr>
                <m:t>I</m:t>
              </m:r>
            </m:e>
            <m:sub>
              <m:r>
                <w:rPr>
                  <w:rFonts w:ascii="Cambria Math" w:eastAsiaTheme="minorEastAsia" w:hAnsi="Cambria Math" w:cs="Arial"/>
                  <w:color w:val="000000" w:themeColor="text1"/>
                  <w:sz w:val="32"/>
                  <w:szCs w:val="32"/>
                </w:rPr>
                <m:t>X→Y</m:t>
              </m:r>
            </m:sub>
          </m:sSub>
          <m:r>
            <w:rPr>
              <w:rFonts w:ascii="Cambria Math" w:eastAsiaTheme="minorEastAsia" w:hAnsi="Cambria Math" w:cs="Arial"/>
              <w:color w:val="000000" w:themeColor="text1"/>
              <w:sz w:val="32"/>
              <w:szCs w:val="32"/>
            </w:rPr>
            <m:t>-CaM</m:t>
          </m:r>
          <m:sSub>
            <m:sSubPr>
              <m:ctrlPr>
                <w:rPr>
                  <w:rFonts w:ascii="Cambria Math" w:eastAsiaTheme="minorEastAsia" w:hAnsi="Cambria Math" w:cs="Arial"/>
                  <w:i/>
                  <w:iCs/>
                  <w:color w:val="000000" w:themeColor="text1"/>
                  <w:sz w:val="32"/>
                  <w:szCs w:val="32"/>
                </w:rPr>
              </m:ctrlPr>
            </m:sSubPr>
            <m:e>
              <m:r>
                <w:rPr>
                  <w:rFonts w:ascii="Cambria Math" w:eastAsiaTheme="minorEastAsia" w:hAnsi="Cambria Math" w:cs="Arial"/>
                  <w:color w:val="000000" w:themeColor="text1"/>
                  <w:sz w:val="32"/>
                  <w:szCs w:val="32"/>
                </w:rPr>
                <m:t>I</m:t>
              </m:r>
            </m:e>
            <m:sub>
              <m:r>
                <w:rPr>
                  <w:rFonts w:ascii="Cambria Math" w:eastAsiaTheme="minorEastAsia" w:hAnsi="Cambria Math" w:cs="Arial"/>
                  <w:color w:val="000000" w:themeColor="text1"/>
                  <w:sz w:val="32"/>
                  <w:szCs w:val="32"/>
                </w:rPr>
                <m:t>Y→X</m:t>
              </m:r>
            </m:sub>
          </m:sSub>
        </m:oMath>
      </m:oMathPara>
      <w:bookmarkStart w:id="0" w:name="_GoBack"/>
      <w:bookmarkEnd w:id="0"/>
    </w:p>
    <w:p w14:paraId="2A0A6810" w14:textId="0886FDBC" w:rsidR="00CF39ED" w:rsidRDefault="00CF39ED" w:rsidP="00CF39ED">
      <w:pPr>
        <w:spacing w:line="360" w:lineRule="auto"/>
        <w:jc w:val="both"/>
        <w:rPr>
          <w:rFonts w:ascii="Arial" w:eastAsiaTheme="minorEastAsia" w:hAnsi="Arial" w:cs="Arial"/>
          <w:iCs/>
          <w:color w:val="000000" w:themeColor="text1"/>
          <w:sz w:val="24"/>
          <w:szCs w:val="24"/>
        </w:rPr>
      </w:pPr>
    </w:p>
    <w:p w14:paraId="76F4024A" w14:textId="7ED303EC" w:rsidR="000F6046" w:rsidRDefault="00CF39ED" w:rsidP="00CF39ED">
      <w:pPr>
        <w:spacing w:line="360" w:lineRule="auto"/>
        <w:jc w:val="both"/>
        <w:rPr>
          <w:rFonts w:ascii="Arial" w:eastAsiaTheme="minorEastAsia" w:hAnsi="Arial" w:cs="Arial"/>
          <w:iCs/>
          <w:color w:val="000000" w:themeColor="text1"/>
          <w:sz w:val="24"/>
          <w:szCs w:val="24"/>
        </w:rPr>
      </w:pPr>
      <w:r>
        <w:rPr>
          <w:rFonts w:ascii="Arial" w:eastAsiaTheme="minorEastAsia" w:hAnsi="Arial" w:cs="Arial"/>
          <w:iCs/>
          <w:color w:val="000000" w:themeColor="text1"/>
          <w:sz w:val="24"/>
          <w:szCs w:val="24"/>
        </w:rPr>
        <w:t>Therefore, the DI can have negative and positive values, inferring direction of informational flow from either X to Y or Y to X. The absolute value of this statistical measure is correspondent to the amount of information flowing from one node to the other.</w:t>
      </w:r>
      <w:r w:rsidR="000F6046">
        <w:rPr>
          <w:rFonts w:ascii="Arial" w:eastAsiaTheme="minorEastAsia" w:hAnsi="Arial" w:cs="Arial"/>
          <w:iCs/>
          <w:color w:val="000000" w:themeColor="text1"/>
          <w:sz w:val="24"/>
          <w:szCs w:val="24"/>
        </w:rPr>
        <w:t xml:space="preserve"> It is possible to use DI to construct information graphs as well.</w:t>
      </w:r>
    </w:p>
    <w:p w14:paraId="56822297" w14:textId="4AECBBF8" w:rsidR="00E32271" w:rsidRPr="000F6046" w:rsidRDefault="00E32271" w:rsidP="00CF39ED">
      <w:pPr>
        <w:spacing w:line="360" w:lineRule="auto"/>
        <w:jc w:val="both"/>
        <w:rPr>
          <w:rFonts w:ascii="Arial" w:eastAsiaTheme="minorEastAsia" w:hAnsi="Arial" w:cs="Arial"/>
          <w:iCs/>
          <w:color w:val="000000" w:themeColor="text1"/>
          <w:sz w:val="24"/>
          <w:szCs w:val="24"/>
        </w:rPr>
      </w:pPr>
      <w:r>
        <w:rPr>
          <w:rFonts w:ascii="Arial" w:hAnsi="Arial" w:cs="Arial"/>
          <w:b/>
          <w:bCs/>
          <w:sz w:val="32"/>
          <w:szCs w:val="32"/>
        </w:rPr>
        <w:t>References</w:t>
      </w:r>
    </w:p>
    <w:p w14:paraId="13F81315" w14:textId="0FB4817E" w:rsidR="00E32271" w:rsidRDefault="00E32271" w:rsidP="00E32271">
      <w:pPr>
        <w:pStyle w:val="NormalWeb"/>
        <w:ind w:left="480" w:hanging="480"/>
        <w:rPr>
          <w:rStyle w:val="Hyperlink"/>
        </w:rPr>
      </w:pPr>
      <w:r>
        <w:t xml:space="preserve">Bianco-Martinez, E., Baptista, M. S., (2018). </w:t>
      </w:r>
      <w:r>
        <w:rPr>
          <w:i/>
          <w:iCs/>
        </w:rPr>
        <w:t>Space-time nature of causality</w:t>
      </w:r>
      <w:r>
        <w:t xml:space="preserve">. </w:t>
      </w:r>
      <w:r>
        <w:rPr>
          <w:i/>
          <w:iCs/>
        </w:rPr>
        <w:t>075509</w:t>
      </w:r>
      <w:r>
        <w:t xml:space="preserve">. </w:t>
      </w:r>
      <w:hyperlink r:id="rId9" w:history="1">
        <w:r w:rsidRPr="000C5BB1">
          <w:rPr>
            <w:rStyle w:val="Hyperlink"/>
          </w:rPr>
          <w:t>https://doi.org/10.1063/1.5019917</w:t>
        </w:r>
      </w:hyperlink>
    </w:p>
    <w:p w14:paraId="1AD87D0B" w14:textId="3B7B1161" w:rsidR="000F6046" w:rsidRDefault="000F6046" w:rsidP="000F6046">
      <w:pPr>
        <w:pStyle w:val="NormalWeb"/>
        <w:ind w:left="480" w:hanging="480"/>
      </w:pPr>
      <w:r>
        <w:t xml:space="preserve">Borges, F. S., </w:t>
      </w:r>
      <w:proofErr w:type="spellStart"/>
      <w:r>
        <w:t>Lameu</w:t>
      </w:r>
      <w:proofErr w:type="spellEnd"/>
      <w:r>
        <w:t xml:space="preserve">, E. L., </w:t>
      </w:r>
      <w:proofErr w:type="spellStart"/>
      <w:r>
        <w:t>Iarosz</w:t>
      </w:r>
      <w:proofErr w:type="spellEnd"/>
      <w:r>
        <w:t xml:space="preserve">, K. C., </w:t>
      </w:r>
      <w:proofErr w:type="spellStart"/>
      <w:r>
        <w:t>Protachevicz</w:t>
      </w:r>
      <w:proofErr w:type="spellEnd"/>
      <w:r>
        <w:t xml:space="preserve">, P. R., Caldas, I. L., Viana, R. L., … Baptista, M. S. (2018). Inference of topology and the nature of synapses, and the flow of information in neuronal networks. </w:t>
      </w:r>
      <w:r>
        <w:rPr>
          <w:i/>
          <w:iCs/>
        </w:rPr>
        <w:t>Physical Review E</w:t>
      </w:r>
      <w:r>
        <w:t xml:space="preserve">, </w:t>
      </w:r>
      <w:r>
        <w:rPr>
          <w:i/>
          <w:iCs/>
        </w:rPr>
        <w:t>97</w:t>
      </w:r>
      <w:r>
        <w:t>(2), 1–7. https://doi.org/10.1103/PhysRevE.97.022303</w:t>
      </w:r>
    </w:p>
    <w:p w14:paraId="0F72371A" w14:textId="3AE16929" w:rsidR="00E32271" w:rsidRDefault="00E32271" w:rsidP="00E32271">
      <w:pPr>
        <w:pStyle w:val="NormalWeb"/>
        <w:ind w:left="480" w:hanging="480"/>
      </w:pPr>
      <w:r>
        <w:t xml:space="preserve">Cover, T. M., &amp; Thomas, J. A. (2006). </w:t>
      </w:r>
      <w:r>
        <w:rPr>
          <w:i/>
          <w:iCs/>
        </w:rPr>
        <w:t>Elements of information theory</w:t>
      </w:r>
      <w:r>
        <w:t>. Wiley-</w:t>
      </w:r>
      <w:proofErr w:type="spellStart"/>
      <w:r>
        <w:t>Interscience</w:t>
      </w:r>
      <w:proofErr w:type="spellEnd"/>
      <w:r>
        <w:t>.</w:t>
      </w:r>
    </w:p>
    <w:p w14:paraId="748C1DA9" w14:textId="15004457" w:rsidR="00E32271" w:rsidRDefault="00E32271" w:rsidP="00E32271">
      <w:pPr>
        <w:pStyle w:val="NormalWeb"/>
        <w:ind w:left="480" w:hanging="480"/>
      </w:pPr>
      <w:proofErr w:type="spellStart"/>
      <w:r>
        <w:t>Rubido</w:t>
      </w:r>
      <w:proofErr w:type="spellEnd"/>
      <w:r>
        <w:t xml:space="preserve">, N., Martí, A. C., Bianco-Martínez, E., </w:t>
      </w:r>
      <w:proofErr w:type="spellStart"/>
      <w:r>
        <w:t>Grebogi</w:t>
      </w:r>
      <w:proofErr w:type="spellEnd"/>
      <w:r>
        <w:t xml:space="preserve">, C., Baptista, M. S., &amp; </w:t>
      </w:r>
      <w:proofErr w:type="spellStart"/>
      <w:r>
        <w:t>Masoller</w:t>
      </w:r>
      <w:proofErr w:type="spellEnd"/>
      <w:r>
        <w:t xml:space="preserve">, C. (2014). Exact detection of direct links in networks of interacting dynamical units. </w:t>
      </w:r>
      <w:r>
        <w:rPr>
          <w:i/>
          <w:iCs/>
        </w:rPr>
        <w:t>New Journal of Physics</w:t>
      </w:r>
      <w:r>
        <w:t xml:space="preserve">, </w:t>
      </w:r>
      <w:r>
        <w:rPr>
          <w:i/>
          <w:iCs/>
        </w:rPr>
        <w:t>16</w:t>
      </w:r>
      <w:r>
        <w:t xml:space="preserve">. </w:t>
      </w:r>
      <w:hyperlink r:id="rId10" w:history="1">
        <w:r w:rsidR="000F6046" w:rsidRPr="00CB2B64">
          <w:rPr>
            <w:rStyle w:val="Hyperlink"/>
          </w:rPr>
          <w:t>https://doi.org/10.1088/1367-2630/16/9/093010</w:t>
        </w:r>
      </w:hyperlink>
    </w:p>
    <w:p w14:paraId="3EF33D12" w14:textId="2F93934E" w:rsidR="000F6046" w:rsidRDefault="000F6046" w:rsidP="000F6046">
      <w:pPr>
        <w:pStyle w:val="NormalWeb"/>
        <w:ind w:left="480" w:hanging="480"/>
      </w:pPr>
      <w:r>
        <w:t xml:space="preserve">Schreiber, T. (2000). Measuring Information Transfer. </w:t>
      </w:r>
      <w:r>
        <w:rPr>
          <w:i/>
          <w:iCs/>
        </w:rPr>
        <w:t>Physical Review Letters</w:t>
      </w:r>
      <w:r>
        <w:t xml:space="preserve">, </w:t>
      </w:r>
      <w:r>
        <w:rPr>
          <w:i/>
          <w:iCs/>
        </w:rPr>
        <w:t>85</w:t>
      </w:r>
      <w:r>
        <w:t>(2), 461–464. https://doi.org/10.1103/PhysRevLett.85.461</w:t>
      </w:r>
    </w:p>
    <w:p w14:paraId="76B20DD4" w14:textId="5E020B23" w:rsidR="00E32271" w:rsidRPr="00974A83" w:rsidRDefault="001E0863" w:rsidP="00E32271">
      <w:pPr>
        <w:spacing w:line="360" w:lineRule="auto"/>
        <w:jc w:val="both"/>
        <w:rPr>
          <w:rFonts w:ascii="Times New Roman" w:hAnsi="Times New Roman" w:cs="Times New Roman"/>
          <w:color w:val="000000" w:themeColor="text1"/>
          <w:sz w:val="24"/>
          <w:szCs w:val="24"/>
        </w:rPr>
      </w:pPr>
      <w:hyperlink r:id="rId11" w:tooltip="Claude Shannon" w:history="1">
        <w:r w:rsidR="00E32271" w:rsidRPr="00974A83">
          <w:rPr>
            <w:rStyle w:val="Hyperlink"/>
            <w:rFonts w:ascii="Times New Roman" w:hAnsi="Times New Roman" w:cs="Times New Roman"/>
            <w:color w:val="000000" w:themeColor="text1"/>
            <w:sz w:val="24"/>
            <w:szCs w:val="24"/>
            <w:shd w:val="clear" w:color="auto" w:fill="FFFFFF"/>
          </w:rPr>
          <w:t>Shannon, Claude E.</w:t>
        </w:r>
      </w:hyperlink>
      <w:r w:rsidR="00E32271" w:rsidRPr="00974A83">
        <w:rPr>
          <w:rFonts w:ascii="Times New Roman" w:hAnsi="Times New Roman" w:cs="Times New Roman"/>
          <w:color w:val="000000" w:themeColor="text1"/>
          <w:sz w:val="24"/>
          <w:szCs w:val="24"/>
          <w:shd w:val="clear" w:color="auto" w:fill="FFFFFF"/>
        </w:rPr>
        <w:t> (July 1948). </w:t>
      </w:r>
      <w:hyperlink r:id="rId12" w:tooltip="A Mathematical Theory of Communication" w:history="1">
        <w:r w:rsidR="00E32271" w:rsidRPr="00974A83">
          <w:rPr>
            <w:rStyle w:val="Hyperlink"/>
            <w:rFonts w:ascii="Times New Roman" w:hAnsi="Times New Roman" w:cs="Times New Roman"/>
            <w:color w:val="000000" w:themeColor="text1"/>
            <w:sz w:val="24"/>
            <w:szCs w:val="24"/>
            <w:shd w:val="clear" w:color="auto" w:fill="FFFFFF"/>
          </w:rPr>
          <w:t>"A Mathematical Theory of Communication"</w:t>
        </w:r>
      </w:hyperlink>
      <w:r w:rsidR="00E32271" w:rsidRPr="00974A83">
        <w:rPr>
          <w:rFonts w:ascii="Times New Roman" w:hAnsi="Times New Roman" w:cs="Times New Roman"/>
          <w:color w:val="000000" w:themeColor="text1"/>
          <w:sz w:val="24"/>
          <w:szCs w:val="24"/>
          <w:shd w:val="clear" w:color="auto" w:fill="FFFFFF"/>
        </w:rPr>
        <w:t>. </w:t>
      </w:r>
      <w:hyperlink r:id="rId13" w:tooltip="Bell System Technical Journal" w:history="1">
        <w:r w:rsidR="00E32271" w:rsidRPr="00974A83">
          <w:rPr>
            <w:rStyle w:val="Hyperlink"/>
            <w:rFonts w:ascii="Times New Roman" w:hAnsi="Times New Roman" w:cs="Times New Roman"/>
            <w:i/>
            <w:iCs/>
            <w:color w:val="000000" w:themeColor="text1"/>
            <w:sz w:val="24"/>
            <w:szCs w:val="24"/>
            <w:shd w:val="clear" w:color="auto" w:fill="FFFFFF"/>
          </w:rPr>
          <w:t xml:space="preserve">Bell System </w:t>
        </w:r>
        <w:r w:rsidR="00E32271">
          <w:rPr>
            <w:rStyle w:val="Hyperlink"/>
            <w:rFonts w:ascii="Times New Roman" w:hAnsi="Times New Roman" w:cs="Times New Roman"/>
            <w:i/>
            <w:iCs/>
            <w:color w:val="000000" w:themeColor="text1"/>
            <w:sz w:val="24"/>
            <w:szCs w:val="24"/>
            <w:shd w:val="clear" w:color="auto" w:fill="FFFFFF"/>
          </w:rPr>
          <w:t xml:space="preserve">  </w:t>
        </w:r>
        <w:r w:rsidR="00E32271" w:rsidRPr="00974A83">
          <w:rPr>
            <w:rStyle w:val="Hyperlink"/>
            <w:rFonts w:ascii="Times New Roman" w:hAnsi="Times New Roman" w:cs="Times New Roman"/>
            <w:i/>
            <w:iCs/>
            <w:color w:val="000000" w:themeColor="text1"/>
            <w:sz w:val="24"/>
            <w:szCs w:val="24"/>
            <w:shd w:val="clear" w:color="auto" w:fill="FFFFFF"/>
          </w:rPr>
          <w:t>Technical Journal</w:t>
        </w:r>
      </w:hyperlink>
      <w:r w:rsidR="00E32271" w:rsidRPr="00974A83">
        <w:rPr>
          <w:rFonts w:ascii="Times New Roman" w:hAnsi="Times New Roman" w:cs="Times New Roman"/>
          <w:color w:val="000000" w:themeColor="text1"/>
          <w:sz w:val="24"/>
          <w:szCs w:val="24"/>
          <w:shd w:val="clear" w:color="auto" w:fill="FFFFFF"/>
        </w:rPr>
        <w:t>. </w:t>
      </w:r>
      <w:r w:rsidR="00E32271" w:rsidRPr="00974A83">
        <w:rPr>
          <w:rFonts w:ascii="Times New Roman" w:hAnsi="Times New Roman" w:cs="Times New Roman"/>
          <w:b/>
          <w:bCs/>
          <w:color w:val="000000" w:themeColor="text1"/>
          <w:sz w:val="24"/>
          <w:szCs w:val="24"/>
          <w:shd w:val="clear" w:color="auto" w:fill="FFFFFF"/>
        </w:rPr>
        <w:t>27</w:t>
      </w:r>
      <w:r w:rsidR="00E32271" w:rsidRPr="00974A83">
        <w:rPr>
          <w:rFonts w:ascii="Times New Roman" w:hAnsi="Times New Roman" w:cs="Times New Roman"/>
          <w:color w:val="000000" w:themeColor="text1"/>
          <w:sz w:val="24"/>
          <w:szCs w:val="24"/>
          <w:shd w:val="clear" w:color="auto" w:fill="FFFFFF"/>
        </w:rPr>
        <w:t> (3): 379–423. </w:t>
      </w:r>
      <w:hyperlink r:id="rId14" w:tooltip="Digital object identifier" w:history="1">
        <w:r w:rsidR="00E32271" w:rsidRPr="00974A83">
          <w:rPr>
            <w:rStyle w:val="Hyperlink"/>
            <w:rFonts w:ascii="Times New Roman" w:hAnsi="Times New Roman" w:cs="Times New Roman"/>
            <w:color w:val="000000" w:themeColor="text1"/>
            <w:sz w:val="24"/>
            <w:szCs w:val="24"/>
            <w:shd w:val="clear" w:color="auto" w:fill="FFFFFF"/>
          </w:rPr>
          <w:t>doi</w:t>
        </w:r>
      </w:hyperlink>
      <w:r w:rsidR="00E32271" w:rsidRPr="00974A83">
        <w:rPr>
          <w:rFonts w:ascii="Times New Roman" w:hAnsi="Times New Roman" w:cs="Times New Roman"/>
          <w:color w:val="000000" w:themeColor="text1"/>
          <w:sz w:val="24"/>
          <w:szCs w:val="24"/>
          <w:shd w:val="clear" w:color="auto" w:fill="FFFFFF"/>
        </w:rPr>
        <w:t>:</w:t>
      </w:r>
      <w:hyperlink r:id="rId15" w:history="1">
        <w:r w:rsidR="00E32271" w:rsidRPr="00974A83">
          <w:rPr>
            <w:rStyle w:val="Hyperlink"/>
            <w:rFonts w:ascii="Times New Roman" w:hAnsi="Times New Roman" w:cs="Times New Roman"/>
            <w:color w:val="000000" w:themeColor="text1"/>
            <w:sz w:val="24"/>
            <w:szCs w:val="24"/>
          </w:rPr>
          <w:t>10.1002/j.1538-7305.1948.tb01338.</w:t>
        </w:r>
      </w:hyperlink>
    </w:p>
    <w:p w14:paraId="1BCBDB8A" w14:textId="77777777" w:rsidR="00E32271" w:rsidRDefault="00E32271" w:rsidP="00CF39ED">
      <w:pPr>
        <w:spacing w:line="360" w:lineRule="auto"/>
        <w:jc w:val="both"/>
        <w:rPr>
          <w:rFonts w:ascii="Arial" w:hAnsi="Arial" w:cs="Arial"/>
          <w:sz w:val="24"/>
          <w:szCs w:val="24"/>
        </w:rPr>
      </w:pPr>
    </w:p>
    <w:p w14:paraId="684A1454" w14:textId="77777777" w:rsidR="006A5704" w:rsidRDefault="006A5704"/>
    <w:sectPr w:rsidR="006A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ED"/>
    <w:rsid w:val="000F6046"/>
    <w:rsid w:val="001E0863"/>
    <w:rsid w:val="006A5704"/>
    <w:rsid w:val="00CF39ED"/>
    <w:rsid w:val="00E32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E746"/>
  <w15:chartTrackingRefBased/>
  <w15:docId w15:val="{EF629004-A0AF-46B7-9C4D-41784114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9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271"/>
    <w:rPr>
      <w:color w:val="0563C1" w:themeColor="hyperlink"/>
      <w:u w:val="single"/>
    </w:rPr>
  </w:style>
  <w:style w:type="paragraph" w:styleId="NormalWeb">
    <w:name w:val="Normal (Web)"/>
    <w:basedOn w:val="Normal"/>
    <w:uiPriority w:val="99"/>
    <w:unhideWhenUsed/>
    <w:rsid w:val="00E322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F6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hyperlink" Target="https://en.wikipedia.org/wiki/Bell_System_Technical_Journal" TargetMode="External"/><Relationship Id="rId3" Type="http://schemas.openxmlformats.org/officeDocument/2006/relationships/webSettings" Target="webSettings.xml"/><Relationship Id="rId7" Type="http://schemas.openxmlformats.org/officeDocument/2006/relationships/image" Target="media/image4.tiff"/><Relationship Id="rId12" Type="http://schemas.openxmlformats.org/officeDocument/2006/relationships/hyperlink" Target="https://en.wikipedia.org/wiki/A_Mathematical_Theory_of_Communica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en.wikipedia.org/wiki/Claude_Shannon" TargetMode="External"/><Relationship Id="rId5" Type="http://schemas.openxmlformats.org/officeDocument/2006/relationships/image" Target="media/image2.png"/><Relationship Id="rId15" Type="http://schemas.openxmlformats.org/officeDocument/2006/relationships/hyperlink" Target="https://doi.org/10.1002%2Fj.1538-7305.1948.tb01338.x" TargetMode="External"/><Relationship Id="rId10" Type="http://schemas.openxmlformats.org/officeDocument/2006/relationships/hyperlink" Target="https://doi.org/10.1088/1367-2630/16/9/093010" TargetMode="External"/><Relationship Id="rId4" Type="http://schemas.openxmlformats.org/officeDocument/2006/relationships/image" Target="media/image1.png"/><Relationship Id="rId9" Type="http://schemas.openxmlformats.org/officeDocument/2006/relationships/hyperlink" Target="https://doi.org/10.1063/1.5019917" TargetMode="External"/><Relationship Id="rId14"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 SIYAN (PGT)</dc:creator>
  <cp:keywords/>
  <dc:description/>
  <cp:lastModifiedBy>DIMITROV, SIYAN (PGT)</cp:lastModifiedBy>
  <cp:revision>2</cp:revision>
  <dcterms:created xsi:type="dcterms:W3CDTF">2020-11-24T22:58:00Z</dcterms:created>
  <dcterms:modified xsi:type="dcterms:W3CDTF">2020-11-25T00:36:00Z</dcterms:modified>
</cp:coreProperties>
</file>