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ind w:firstLine="0"/>
        <w:jc w:val="center"/>
      </w:pPr>
      <w:r>
        <w:rPr>
          <w:rFonts w:ascii="Times New Roman" w:hAnsi="Times New Roman" w:eastAsia="黑体"/>
          <w:b/>
          <w:sz w:val="32"/>
        </w:rPr>
        <w:t>人工智能算力基础设施与经济增长：</w:t>
        <w:br/>
        <w:t>基于跨国面板的初步证据</w:t>
      </w:r>
    </w:p>
    <w:p>
      <w:pPr>
        <w:pStyle w:val="Heading1"/>
        <w:spacing w:before="240" w:after="120"/>
        <w:ind w:firstLine="0"/>
      </w:pPr>
      <w:r>
        <w:rPr>
          <w:rFonts w:ascii="Times New Roman" w:hAnsi="Times New Roman" w:eastAsia="黑体"/>
          <w:color w:val="000000"/>
        </w:rPr>
        <w:t>五、实证结果</w:t>
      </w:r>
    </w:p>
    <w:p>
      <w:pPr>
        <w:spacing w:line="360" w:lineRule="auto"/>
      </w:pPr>
      <w:r>
        <w:rPr>
          <w:rFonts w:ascii="Times New Roman" w:hAnsi="Times New Roman" w:eastAsia="宋体"/>
          <w:sz w:val="24"/>
        </w:rPr>
        <w:t>表 1 报告了主要变量的描述性统计。全样本（185 国 × 1960–2023 年，11,840 个观测）中，年度 GDP 人均增长率的均值为 0.0187（约 1.87%），标准差为 0.0648，反映了全球增长率的巨大跨国差异——从严重衰退到快速赶超增长。核心解释变量 log_total_rmax 的非零观测仅 937 个（7.9%），均值为 10.79（相当于约 48,600 TFlop/s），但其分布高度右偏：前 12 个国家（美国、中国、日本、德国、法国、英国、韩国、意大利、加拿大、荷兰、瑞士、俄罗斯）占据了总算力的绝大部分。在分析样本中（120 国 × 2015–2023 年，1080 个完整案例），算力的分布在国家间高度集中，同一国家内部随时间的变化相对较小——这意味着本文的识别主要依赖国家间的比较（between-country variation）而非国家内部的变化（within-country variation）。</w:t>
      </w:r>
    </w:p>
    <w:p>
      <w:pPr>
        <w:spacing w:line="360" w:lineRule="auto"/>
      </w:pPr>
      <w:r>
        <w:rPr>
          <w:rFonts w:ascii="Times New Roman" w:hAnsi="Times New Roman" w:eastAsia="宋体"/>
          <w:sz w:val="24"/>
        </w:rPr>
        <w:t>表 2 报告了基准回归结果。模型 1（仅包括国家和年份固定效应，无其他控制变量）中，log_total_rmax 的系数为 −0.077（SE = 0.035, p = 0.028），在 5% 水平上显著。模型 2 加入人力资本指数后，系数为 −0.077（SE = 0.035, p = 0.030）。模型 3 加入投资份额后，系数为 −0.079（SE = 0.038, p = 0.042）。在最完整的模型 4 中，加入全要素生产率、出口份额、进口份额、工业增加值占比和服务业增加值占比后，log_total_rmax 的系数为 −0.062（SE = 0.033, p = 0.066）。系数在四个模型中保持了高度稳定（范围 −0.077 到 −0.062），且方向始终为负。在最完整的模型 4 中，算力的效应量级具有经济显著性：对于两个在其他方面完全相同的国家，如果一个国家的 log_total_rmax 比另一个高出 1 个 log point（从 0 到约 2.72 TFlop/s 的总算力），其年度增长率平均低约 0.062 个百分点。如果将这一差异线性外推至从零算力到如中国的 log_total_rmax 水平（约 log(1000) = 6.9），隐含的增长差异达到约 −0.43 个百分点——对于年度增长而言这是不可忽略的量级。</w:t>
      </w:r>
    </w:p>
    <w:p>
      <w:pPr>
        <w:spacing w:line="360" w:lineRule="auto"/>
      </w:pPr>
      <w:r>
        <w:rPr>
          <w:rFonts w:ascii="Times New Roman" w:hAnsi="Times New Roman" w:eastAsia="宋体"/>
          <w:sz w:val="24"/>
        </w:rPr>
        <w:t>为检验这一负向关联是否可能由纯粹的随机因素产生，我们进行了随机置换检验（randomization inference / placebo test）：在每一年内部将 log_total_rmax 随机排列分配至不同国家，然后重新估计模型 4 的系数，重复 2000 次。在 2000 次置换中，仅有 1 次产生了比真实系数 −0.062 更小的（更负的）系数，对应单侧 p 值 = 0.001（图 1a）。这意味着，在当前的数据结构下（国家内和国家间的算力分布），观测到的负向关联极不可能由随机生成的数据产生。然而，p = 0.001 仅拒绝了"log_total_rmax 和增长在空间上独立随机分布"的零假设——它并不排除反向因果或遗漏变量等系统性的内生性来源。因此，本文将这一置换检验结果解读为"负向关联不是随机伪影"的证据，而非"因果效应成立"的证据。</w:t>
      </w:r>
    </w:p>
    <w:p>
      <w:pPr>
        <w:spacing w:line="360" w:lineRule="auto"/>
      </w:pPr>
      <w:r>
        <w:rPr>
          <w:rFonts w:ascii="Times New Roman" w:hAnsi="Times New Roman" w:eastAsia="宋体"/>
          <w:sz w:val="24"/>
        </w:rPr>
        <w:t>系数稳定性图（图 1b）显示，log_total_rmax 的系数在从裸固定效应到完整控制变量的四个嵌套模型中始终为负且在量级上高度接近。加入额外控制变量并未消除或逆转负向关联——这与遗漏变量偏误的常见模式不符。如果负向关联是某个遗漏变量的虚假效应，我们通常预期在加入相关控制变量后系数的量级或符号会发生变化。然而，在缺少制度质量（QoG/VDem）控制变量的情况下，这一论据的说服力有限：制度质量可能同时与算力投资和增长速度相关，而其方向可能与现有控制变量正交，因此无法被已加入的变量吸收。</w:t>
      </w:r>
    </w:p>
    <w:p>
      <w:pPr>
        <w:spacing w:line="360" w:lineRule="auto"/>
      </w:pPr>
      <w:r>
        <w:rPr>
          <w:rFonts w:ascii="Times New Roman" w:hAnsi="Times New Roman" w:eastAsia="宋体"/>
          <w:sz w:val="24"/>
        </w:rPr>
        <w:t>控制变量的估计结果呈现了几个值得注意的模式。首先，出口份额（pwt_export_share）和进口份额（pwt_import_share）在模型 4 中均为负且统计显著（出口：β = −12.82, SE = 4.85, p &lt; 0.01；进口：β = −9.85, SE = 5.31, p &lt; 0.10）。出口高占比与较慢的增长相关联——这一模式可能反映了出口导向型增长在 2015–2023 年期间面临的结构性逆风（全球贸易增速放缓、疫情对供应链的冲击），也可能与贸易占 GDP 比重的倒 U 型关系有关（高收入经济体的贸易占比趋于下降）。其次，全要素生产率（pwt_tfp）的系数为 −14.48（SE = 2.24, p &lt; 0.001）——负号意味着在控制其他因素后，TFP 水平较高的国家在样本期间增长较慢，这与新古典增长模型中的条件收敛假说一致。人力资本指数和投资份额在完整模型中的系数未能达到常规显著性水平，这可能反映出在控制了国家和年份固定效应后，这些缓慢变化的国家特征在短面板中的变异不足。</w:t>
      </w:r>
    </w:p>
    <w:p>
      <w:pPr>
        <w:spacing w:line="360" w:lineRule="auto"/>
      </w:pPr>
      <w:r>
        <w:rPr>
          <w:rFonts w:ascii="Times New Roman" w:hAnsi="Times New Roman" w:eastAsia="宋体"/>
          <w:sz w:val="24"/>
        </w:rPr>
        <w:t>表 3 报告了渠道异质性分析的初步结果。在基准模型中加入 log_total_rmax × wdi_industry_value_added_gdp 和 log_total_rmax × pwt_human_capital_index 两个交互项后，我们检验了假说 1 和假说 2。需要强调的是，这些交互项分析是在双向固定效应设定下进行的，而交互项系数的因果解释在存在国家层面未观测异质性时面临额外的识别挑战。因此，本文将所有交互项结果定性为"异质性模式识别"而非"因果渠道检验"。如果交互项分析产生了具有稳健模式的结果（而非噪声），它们可以为未来的渠道研究——可能使用工具变量、行业层面 TFP 分解或自然实验——提供方向性的线索。由于当前分析仍在进行中，本文在此仅提供交互项模型的分析框架和解读策略，具体系数和显著性留待后续版本报告。</w:t>
      </w:r>
    </w:p>
    <w:p>
      <w:pPr>
        <w:spacing w:line="360" w:lineRule="auto"/>
      </w:pPr>
      <w:r>
        <w:rPr>
          <w:rFonts w:ascii="Times New Roman" w:hAnsi="Times New Roman" w:eastAsia="宋体"/>
          <w:sz w:val="24"/>
        </w:rPr>
        <w:t>尽管本文不使用二元 DID 设定，但连续处理型 TWFE 的设计在识别层面仍然面临挑战。图 2a 报告了算力-增长关系的原始趋势：在 2015–2023 年的全样本中，曾上榜 TOP500 的国家（蓝色，N ≈ 44）和从未上榜的国家（橙色，N ≈ 141）的年度增长均值趋势没有显著的视觉差异——两组国家的增长轨迹相当接近。图 2b 报告了处理状态热力图：绝大多数"有算力"国家（地图上半部分）在 2015 年已经上榜并持续上榜至今，新进入者（2015 年后首次上榜）集中在少数国家。图 2c 报告了算力分布：log_total_rmax 的右偏分布以及前 12 个算力大国的增长轨迹显示，算力越大的国家在样本期间的增长率不一定更高——事实上，算力最大的几个国家（美国、日本等）在样本期间的增长率处于中等偏低水平。最后，图 2d 报告了事件研究图（使用二元处理指标，仅作诊断性展示），参考期为 t = −1，灰色竖线标志"首次进入 TOP500"的年份。事件研究系数在"处理"后没有显示出明确的上升或下降模式，这与负向关联的基准结果在表面上存在张力——但考虑到二元指标的粗糙性（将所有算力为正的国家归为"1"）以及仅 9 个国家有可观测的进入时间这一事实，事件研究的结果不应被过度解读。</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