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360"/>
        <w:ind w:firstLine="0"/>
        <w:jc w:val="center"/>
      </w:pPr>
      <w:r>
        <w:rPr>
          <w:rFonts w:ascii="Times New Roman" w:hAnsi="Times New Roman" w:eastAsia="黑体"/>
          <w:b/>
          <w:sz w:val="32"/>
        </w:rPr>
        <w:t>人工智能算力基础设施与经济增长：</w:t>
        <w:br/>
        <w:t>基于跨国面板的初步证据</w:t>
      </w:r>
    </w:p>
    <w:p>
      <w:pPr>
        <w:spacing w:after="360"/>
        <w:ind w:firstLine="0"/>
        <w:jc w:val="center"/>
      </w:pPr>
      <w:r>
        <w:rPr>
          <w:rFonts w:ascii="Times New Roman" w:hAnsi="Times New Roman"/>
          <w:i/>
          <w:sz w:val="24"/>
        </w:rPr>
        <w:t>AI Compute Infrastructure and Economic Growth:</w:t>
        <w:br/>
        <w:t>Preliminary Evidence from a Cross-Country Panel</w:t>
      </w:r>
    </w:p>
    <w:p>
      <w:pPr>
        <w:pStyle w:val="Heading1"/>
        <w:spacing w:before="240" w:after="120"/>
        <w:ind w:firstLine="0"/>
      </w:pPr>
      <w:r>
        <w:rPr>
          <w:rFonts w:ascii="Times New Roman" w:hAnsi="Times New Roman" w:eastAsia="黑体"/>
          <w:color w:val="000000"/>
        </w:rPr>
        <w:t>一、引言</w:t>
      </w:r>
    </w:p>
    <w:p>
      <w:pPr>
        <w:spacing w:line="360" w:lineRule="auto"/>
      </w:pPr>
      <w:r>
        <w:rPr>
          <w:rFonts w:ascii="Times New Roman" w:hAnsi="Times New Roman" w:eastAsia="宋体"/>
          <w:sz w:val="24"/>
        </w:rPr>
        <w:t>人工智能（AI）的迅速发展和广泛应用正在深刻地重塑全球经济格局。从美国的科技巨头到中国的"新基建"战略，各国政府和企业正在以前所未有的规模投资 AI 算力基础设施——数据中心、超级计算机和 GPU 集群。然而，与这种投资热潮形成鲜明对比的是，AI 对宏观经济的影响在实证层面仍然高度不确定。Acemoglu（2025）在一项被广泛引用的研究中估计，AI 在未来十年对美国全要素生产率（TFP）的累积提升效应仅约为 0.53 个百分点——这一数字远低于产业界和政策界的普遍预期，也与围绕 AI 的公共叙事形成了巨大反差。如果全球每年数千亿美元的 AI 基础设施投资最终只带来如此微弱的宏观增长效应，那么当前的投资决策就值得重新审视。</w:t>
      </w:r>
    </w:p>
    <w:p>
      <w:pPr>
        <w:spacing w:line="360" w:lineRule="auto"/>
      </w:pPr>
      <w:r>
        <w:rPr>
          <w:rFonts w:ascii="Times New Roman" w:hAnsi="Times New Roman" w:eastAsia="宋体"/>
          <w:sz w:val="24"/>
        </w:rPr>
        <w:t>这一量级争议暴露了现有文献的一个重要缺口：我们对 AI 的宏观经济效应的认识，几乎完全依赖于以 AI 专利数量或职业 AI 暴露度作为代理变量的研究（Gonzales, 2023; Damioli、Van Roy 和 Vertesy, 2021; Georgieff 和 Hyee, 2022）。AI 专利测量的是创新产出，职业暴露度测量的是潜在受影响的工作任务占比——两者都不直接测量 AI 的实际使用强度。相比之下，算力基础设施是 AI 能力的物理载体：没有 GPU 集群和超级计算机，就没有大规模 AI 模型的训练和部署。然而，迄今为止，尚无已发表的跨国实证研究使用算力基础设施作为国家层面 AI 能力的测量。</w:t>
      </w:r>
    </w:p>
    <w:p>
      <w:pPr>
        <w:spacing w:line="360" w:lineRule="auto"/>
      </w:pPr>
      <w:r>
        <w:rPr>
          <w:rFonts w:ascii="Times New Roman" w:hAnsi="Times New Roman" w:eastAsia="宋体"/>
          <w:sz w:val="24"/>
        </w:rPr>
        <w:t>本文试图填补这一缺口。利用 TOP500 全球超级计算机排名数据，我们构建了 1993–2025 年国家层面的总算力面板，并将其与 Penn世界表（PWT）11.0 的经济增长数据合并，形成一个包含 185 个国家、覆盖 2015–2023 年的分析样本。我们提出两个相互关联的研究问题：第一，国家 AI 算力基础设施的规模与其经济增长速度之间是否存在稳健的关联？第二，如果存在关联，其模式是否支持 Acemoglu 和 Restrepo（2018，2019）任务模型框架下的两种竞争性渠道——自动化替代（labor-substituting）和新任务创造（labor-reinstating）？</w:t>
      </w:r>
    </w:p>
    <w:p>
      <w:pPr>
        <w:spacing w:line="360" w:lineRule="auto"/>
      </w:pPr>
      <w:r>
        <w:rPr>
          <w:rFonts w:ascii="Times New Roman" w:hAnsi="Times New Roman" w:eastAsia="宋体"/>
          <w:sz w:val="24"/>
        </w:rPr>
        <w:t>本文的分析表明，在国家–年份面板中使用双向固定效应模型时，log 总算力与年度 GDP 增长率之间存在稳健的负向条件关联（β = −0.062, SE = 0.033, p = 0.066）。这一负向关联在四个嵌套模型设定中保持稳定（系数范围为 −0.077 到 −0.062），并且在 2000 次随机置换检验中拒绝了零效应的零假设（p = 0.001）。本文严格地将这一发现定性为"条件关联"而非"因果效应"——当前的研究设计无法排除反向因果以及其他形式的时变混淆。</w:t>
      </w:r>
    </w:p>
    <w:p>
      <w:pPr>
        <w:spacing w:line="360" w:lineRule="auto"/>
      </w:pPr>
      <w:r>
        <w:rPr>
          <w:rFonts w:ascii="Times New Roman" w:hAnsi="Times New Roman" w:eastAsia="宋体"/>
          <w:sz w:val="24"/>
        </w:rPr>
        <w:t>本文对文献的贡献体现在以下三个方面。第一，在测量层面，本文首次将 TOP500 算力数据引入跨国增长回归，提供了区别于专利和职业暴露度的、以物理资本投入为基础的 AI 能力测量。第二，在理论层面，本文尝试通过交互项分析初步探索自动化替代渠道和新任务创造渠道在跨国宏面上的异质性模式——这是 Acemoglu-Restrepo 任务模型在跨国宏面实证中的首次应用。第三，在覆盖面上，本文的样本包括 185 个国家，涵盖大量被现有文献系统性忽略的发展中经济体。</w:t>
      </w:r>
    </w:p>
    <w:p>
      <w:pPr>
        <w:spacing w:line="360" w:lineRule="auto"/>
      </w:pPr>
      <w:r>
        <w:rPr>
          <w:rFonts w:ascii="Times New Roman" w:hAnsi="Times New Roman" w:eastAsia="宋体"/>
          <w:sz w:val="24"/>
        </w:rPr>
        <w:t>需要强调的是，本文不试图确立因果关系，也不声称 TOP500 算力完美测量了 AI 能力——TOP500 记录的是通用超级计算机，其中包含大量非 AI 专 用系统（如天气预报和核模拟），并且无法捕捉云算力和边缘计算设备。此外，2015–2023 年的短面板无法检验 GPT 类技术的长期滞后效应（Brynjolfsson、Rock 和 Syverson，2017）。这些限制在本文的讨论部分将被明确讨论。</w:t>
      </w:r>
    </w:p>
    <w:p>
      <w:pPr>
        <w:spacing w:line="360" w:lineRule="auto"/>
      </w:pPr>
      <w:r>
        <w:rPr>
          <w:rFonts w:ascii="Times New Roman" w:hAnsi="Times New Roman" w:eastAsia="宋体"/>
          <w:sz w:val="24"/>
        </w:rPr>
        <w:t>本文后续结构安排如下：第二部分进行文献综述，梳理 AI 与经济增长的现有理论与证据；第三部分构建理论框架并提出研究假说；第四部分描述研究设计和数据；第五部分报告实证结果；第六部分进行稳健性检验；第七部分讨论研究发现并指出局限；最后是简短的结论。</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4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