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黑体"/>
          <w:b/>
          <w:sz w:val="32"/>
        </w:rPr>
        <w:t>人工智能算力基础设施与经济增长：</w:t>
        <w:br/>
        <w:t>基于跨国面板的初步证据</w:t>
      </w:r>
    </w:p>
    <w:p>
      <w:pPr>
        <w:spacing w:after="360"/>
        <w:ind w:firstLine="0"/>
        <w:jc w:val="center"/>
      </w:pPr>
      <w:r>
        <w:rPr>
          <w:rFonts w:ascii="Times New Roman" w:hAnsi="Times New Roman"/>
          <w:i/>
          <w:sz w:val="24"/>
        </w:rPr>
        <w:t>AI Compute Infrastructure and Economic Growth:</w:t>
        <w:br/>
        <w:t>Preliminary Evidence from a Cross-Country Panel</w:t>
      </w:r>
    </w:p>
    <w:p>
      <w:pPr>
        <w:pStyle w:val="Heading1"/>
        <w:spacing w:before="240" w:after="120"/>
        <w:ind w:firstLine="0"/>
      </w:pPr>
      <w:r>
        <w:rPr>
          <w:rFonts w:ascii="Times New Roman" w:hAnsi="Times New Roman" w:eastAsia="黑体"/>
          <w:color w:val="000000"/>
        </w:rPr>
        <w:t>二、文献综述</w:t>
      </w:r>
    </w:p>
    <w:p>
      <w:pPr>
        <w:spacing w:line="360" w:lineRule="auto"/>
      </w:pPr>
      <w:r>
        <w:rPr>
          <w:rFonts w:ascii="Times New Roman" w:hAnsi="Times New Roman" w:eastAsia="宋体"/>
          <w:sz w:val="24"/>
        </w:rPr>
        <w:t>AI 的经济效应研究根植于一个更加根本性问题：AI 是否构成一种通用目的技术（General Purpose Technology, GPT）？Brynjolfsson、Rock 和 Syverson（2017）在讨论"现代生产率悖论"时指出，GPT 的特征在于其广泛的应用范围和持续的互补性创新需求——但也正因如此，GPT 的生产率效应往往有很长的滞后。电力在发明近 30 年后才在宏观数据中产生可测度的生产率跃升，AI 可能遵循类似的轨迹。Acemoglu（2025）在题为"人工智能的简单宏观经济学"的论文中，从这一框架出发，利用任务模型框架进行宏观校准，得出 AI 对美国 TFP 的十年累积效应仅约 0.53 个百分点的估计。这一结论在学术界和政策界引起了广泛讨论：Filippucci、Gal 和 Schief（2024）的 OECD 政策报告直接回应了 Acemoglu 的估计，认为其可能低估了 AI 通过新任务创造和组织变革产生的间接效应。</w:t>
      </w:r>
    </w:p>
    <w:p>
      <w:pPr>
        <w:spacing w:line="360" w:lineRule="auto"/>
      </w:pPr>
      <w:r>
        <w:rPr>
          <w:rFonts w:ascii="Times New Roman" w:hAnsi="Times New Roman" w:eastAsia="宋体"/>
          <w:sz w:val="24"/>
        </w:rPr>
        <w:t>在跨国实证层面，Gonzales（2023）利用 63 个国家的面板数据发现，以 AI 专利数量衡量的 AI 创新对 GDP 增长有正向但量级较小的效应，且该效应在发达经济体中更加稳健。Damioli、Van Roy 和 Vertesy（2021）使用类似的 AI 专利测量方法，发现 AI 专利对劳动生产率有正向影响——该文被引超过 500 次，是该领域最具影响力的实证研究之一。然而，这两项研究都仅使用 AI 专利作为 AI 能力的代理变量。AI 专利捕捉的是创新产出，而非 AI 的实际使用强度。正如 Edquist、Goodridge 和 Haskel（2021）在讨论物联网（IoT）基础设施与经济增长时所论证的，技术基础设施的物质投入（如传感器部署数量、网络覆盖范围）提供了不同于专利的、以实际使用为核心的测量视角。</w:t>
      </w:r>
    </w:p>
    <w:p>
      <w:pPr>
        <w:spacing w:line="360" w:lineRule="auto"/>
      </w:pPr>
      <w:r>
        <w:rPr>
          <w:rFonts w:ascii="Times New Roman" w:hAnsi="Times New Roman" w:eastAsia="宋体"/>
          <w:sz w:val="24"/>
        </w:rPr>
        <w:t>从渠道构成来看，Acemoglu 和 Restrepo（2018，2019）提出的任务模型框架是目前理解 AI 经济效应的最主要理论工具。在该框架中，自动化替代渠道的核心逻辑是：AI 算力（资本）在那些劳动执行常规性（routine）和认知性（cognitive）任务的生产环节中替代人类劳动，导致劳动份额下降、资本回报短期上升，但对经济增长的净效应取决于资本深化效应和劳动替代效应的相对大小。Acemoglu、Lelarge 和 Restrepo（2020）利用法国企业级数据为这一渠道提供了微观证据：在 55,390 家样本企业中，598 家采用工业机器人的企业在 2010–2015 年间经历了显著的劳动份额下降，同时其竞争对手的就业也出现减少。Restrepo（2024）对自动化经济学的综述进一步确认，自动化减少就业和劳动份额的方向在多个国家和行业中具有一致性。然而，这些证据全部来自企业层面和发达国家样本，跨国宏面上的自动化替代效应——特别是在劳动份额和产业增加值占比较高的国家——尚未被实证检验。</w:t>
      </w:r>
    </w:p>
    <w:p>
      <w:pPr>
        <w:spacing w:line="360" w:lineRule="auto"/>
      </w:pPr>
      <w:r>
        <w:rPr>
          <w:rFonts w:ascii="Times New Roman" w:hAnsi="Times New Roman" w:eastAsia="宋体"/>
          <w:sz w:val="24"/>
        </w:rPr>
        <w:t>新任务创造渠道是任务模型的另一核心支点。在 Acemoglu 和 Restrepo 的框架中，自动化并非 AI 的唯一效应：AI 同时创造出劳动具有比较优势的新任务，这些新任务能够恢复和扩大劳动需求，从而通过 TFP 提升促进经济增长。Acemoglu 和 Restrepo（2018）在《人力资本杂志》上的论文进一步区分了低技能自动化和高技能自动化：前者增加工资不平等，后者减少不平等——两类自动化的增长效应也因此不同。然而，新任务创造渠道的跨国宏面操作化面临一个根本性困难：新任务创造本身不可直接观测，而现有文献中尚无成功的代理变量策略。这或许是迄今为止没有任何跨国研究能够分解两种渠道的相对贡献的核心原因。</w:t>
      </w:r>
    </w:p>
    <w:p>
      <w:pPr>
        <w:spacing w:line="360" w:lineRule="auto"/>
      </w:pPr>
      <w:r>
        <w:rPr>
          <w:rFonts w:ascii="Times New Roman" w:hAnsi="Times New Roman" w:eastAsia="宋体"/>
          <w:sz w:val="24"/>
        </w:rPr>
        <w:t>AI 增长效应的异质性是文献中另一个未充分解决的问题。Gonzales（2023）的实证结果表明 AI 效应在发达经济体中更加稳健；Damioli 等（2021）的样本主要覆盖 OECD 国家。Georgieff 和 Hyee（2022）对 AI 就业效应的跨国研究同样发现了显著的国家间异质性。Drago 等（2025）使用机器学习和面板数据方法分析了欧洲国家 AI 采用的宏观驱动因素，发现经济发展水平、劳动力市场结构和制度环境都是重要的调节变量。然而，这些研究的样本几乎全部限定在 OECD 或高收入国家范围内。对于中国、印度、巴西等非 OECD 但拥有大规模算力基础设施的国家，其 AI 增长效应可能遵循不同于"发达–发展中"二分法的模式——而这一模式的识别需要覆盖足够多的发展中经济体。</w:t>
      </w:r>
    </w:p>
    <w:p>
      <w:pPr>
        <w:spacing w:line="360" w:lineRule="auto"/>
      </w:pPr>
      <w:r>
        <w:rPr>
          <w:rFonts w:ascii="Times New Roman" w:hAnsi="Times New Roman" w:eastAsia="宋体"/>
          <w:sz w:val="24"/>
        </w:rPr>
        <w:t>最后，现有文献的测量基础值得审视。上述所有实证研究无一例外地使用 AI 专利或职业 AI 暴露度作为 AI 的代理变量。Gonzales（2023）和 Damioli 等（2021）使用 PATSTAT 或类似专利数据库中标记为 AI 相关的专利申请数；Verschuere 和 Cameron（2026）以及 Georgieff 和 Hyee（2022）使用 Felten 等构建的职业 AI 暴露度评分。AI 专利测量的是特定国家的企业和研究机构在 AI 领域的创新产出；职业 AI 暴露度测量的是一个国家特定职业结构中理论上可被 AI 自动化的任务占比。这两种测量在概念上都不等同于"AI 的实际使用强度"——一个拥有大量 AI 专利的国家未必是 AI 的深度使用国（专利可以在全球范围内被授权和引用）；一个职业 AI 暴露度高的国家未必已经在实际使用 AI（暴露度测量的是技术可行性而非实际采用）。</w:t>
      </w:r>
    </w:p>
    <w:p>
      <w:pPr>
        <w:spacing w:line="360" w:lineRule="auto"/>
      </w:pPr>
      <w:r>
        <w:rPr>
          <w:rFonts w:ascii="Times New Roman" w:hAnsi="Times New Roman" w:eastAsia="宋体"/>
          <w:sz w:val="24"/>
        </w:rPr>
        <w:t>综合以上分析，现有文献存在三个明确的缺口。第一，在测量层面：尚无研究使用算力基础设施这一直接反映 AI 物理投入的变量作为跨国面板中的 AI 能力代理。第二，在渠道层面：Acemoglu-Restrepo 任务模型的两个渠道——自动化替代和新任务创造——在跨国宏面上从未被同时分解和比较，部分原因在于新任务创造渠道缺乏可行的代理变量。第三，在覆盖层面：现有实证证据严重偏向 OECD 和高收入国家，发展中经济体的 AI 增长效应几乎未被研究。本文针对这三个缺口，使用 TOP500 超算排名数据构建国家–年份算力面板，在 185 个国家（2015–2023）的样本中检验算力与经济增长的关联方向，并尝试通过人力资本和产业结构等交互项初步探索自动化与新任务渠道的异质性模式。</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