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黑体"/>
          <w:b/>
          <w:sz w:val="32"/>
        </w:rPr>
        <w:t>人工智能算力基础设施与经济增长：</w:t>
        <w:br/>
        <w:t>基于跨国面板的初步证据</w:t>
      </w:r>
    </w:p>
    <w:p>
      <w:pPr>
        <w:spacing w:after="360"/>
        <w:ind w:firstLine="0"/>
        <w:jc w:val="center"/>
      </w:pPr>
      <w:r>
        <w:rPr>
          <w:rFonts w:ascii="Times New Roman" w:hAnsi="Times New Roman"/>
          <w:i/>
          <w:sz w:val="24"/>
        </w:rPr>
        <w:t>AI Compute Infrastructure and Economic Growth:</w:t>
        <w:br/>
        <w:t>Preliminary Evidence from a Cross-Country Panel</w:t>
      </w:r>
    </w:p>
    <w:p>
      <w:pPr>
        <w:pStyle w:val="Heading1"/>
        <w:spacing w:before="240" w:after="120"/>
        <w:ind w:firstLine="0"/>
      </w:pPr>
      <w:r>
        <w:rPr>
          <w:rFonts w:ascii="Times New Roman" w:hAnsi="Times New Roman" w:eastAsia="黑体"/>
          <w:color w:val="000000"/>
        </w:rPr>
        <w:t>三、理论框架与研究假说</w:t>
      </w:r>
    </w:p>
    <w:p>
      <w:pPr>
        <w:spacing w:line="360" w:lineRule="auto"/>
      </w:pPr>
      <w:r>
        <w:rPr>
          <w:rFonts w:ascii="Times New Roman" w:hAnsi="Times New Roman" w:eastAsia="宋体"/>
          <w:sz w:val="24"/>
        </w:rPr>
        <w:t>本文将 AI 界定为一种具有通用目的技术（GPT）特征的技术进步。遵循 Acemoglu 和 Restrepo（2018，2019）的任务模型框架，我们假设 AI 的增长效应通过两条竞争性渠道实现：自动化替代渠道（AI 算力替代劳动在常规性和认知性任务中的角色）和新任务创造渠道（AI 创造劳动具有比较优势的新任务，从而恢复和扩大劳动需求）。两条渠道同时运行，但方向相反——自动化倾向于降低劳动份额并减少就业，而新任务创造倾向于恢复劳动需求并提升 TFP。因此，AI 对经济增长的净效应取决于两条渠道的相对速度，且这一净效应可能在具有不同经济结构的国家之间呈现系统性的异质性。</w:t>
      </w:r>
    </w:p>
    <w:p>
      <w:pPr>
        <w:spacing w:line="360" w:lineRule="auto"/>
      </w:pPr>
      <w:r>
        <w:rPr>
          <w:rFonts w:ascii="Times New Roman" w:hAnsi="Times New Roman" w:eastAsia="宋体"/>
          <w:sz w:val="24"/>
        </w:rPr>
        <w:t>与 Acemoglu 和 Restrepo 的原始框架相比，本文的理论框架做出了三个调整。第一，我们将框架的核心行动者（actor）从一般性的"自动化技术"或"AI"重新定义为跨国可比较的算力基础设施——以 TOP500 超级计算机的总 Rmax（TFlop/s）衡量的国家总算力。第二，我们将因变量从劳动份额和就业调整为 GDP 增长率。这一调整在概念上意味着我们关注的是 AI 的总体经济增长效应（而非仅劳动市场效应），但在因果链上——从算力到劳动份额再到增长——增加了一层间接性。第三，我们将框架的应用范围从美国/France 的企业层面扩展到 185 个国家的宏面水平，从而将经济发展阶段、产业结构和人力资本存量等国家特征纳入为渠道效应的调节变量。</w:t>
      </w:r>
    </w:p>
    <w:p>
      <w:pPr>
        <w:spacing w:line="360" w:lineRule="auto"/>
      </w:pPr>
      <w:r>
        <w:rPr>
          <w:rFonts w:ascii="Times New Roman" w:hAnsi="Times New Roman" w:eastAsia="宋体"/>
          <w:sz w:val="24"/>
        </w:rPr>
        <w:t>假说 1（自动化替代渠道）：在高工业增加值占比的国家，AI 算力对经济增长的负向效应更强——或正向效应更弱。</w:t>
      </w:r>
    </w:p>
    <w:p>
      <w:pPr>
        <w:spacing w:line="360" w:lineRule="auto"/>
      </w:pPr>
      <w:r>
        <w:rPr>
          <w:rFonts w:ascii="Times New Roman" w:hAnsi="Times New Roman" w:eastAsia="宋体"/>
          <w:sz w:val="24"/>
        </w:rPr>
        <w:t>这一假说的逻辑如下。AI 算力替代劳动的核心机制在于将原本由人执行的常规性和认知性任务转交给机器。在制造业和工业占比较高的经济体中，两类任务——常规性手工任务（assembly line operations）和常规性认知任务（质量控制、库存管理、排产优化）——的密度更高，因此 AI 和自动化技术的替代弹性更大。Acemoglu 和 Restrepo（2019）的理论分析表明，当自动化替代发生在劳动份额较高的任务中时，对总体劳动份额和就业的负向效应最明显。如果我们将工业增加值占 GDP 的比重（wdi_industry_value_added_gdp）作为一国经济中"可自动化任务密度"的代理变量，那么算力与工业占比的交互项应当为负——即在工业占比越高的国家，算力增长对 GDP 增长的边际效应越偏向负（或正效应越小）。</w:t>
      </w:r>
    </w:p>
    <w:p>
      <w:pPr>
        <w:spacing w:line="360" w:lineRule="auto"/>
      </w:pPr>
      <w:r>
        <w:rPr>
          <w:rFonts w:ascii="Times New Roman" w:hAnsi="Times New Roman" w:eastAsia="宋体"/>
          <w:sz w:val="24"/>
        </w:rPr>
        <w:t>值得指出的是，一个成熟的竞争性解释——技能偏向型技术进步（Skill-Biased Technical Change, SBTC）假说——认为 AI 和自动化技术实际上补充了高技能劳动力而非替代它（Acemoglu 和 Restrepo，2018，JHC）。如果 SBTC 假说成立，那么 AI 算力应当通过提升高技能劳动力的生产率来促进增长，而不是通过替代劳动来抑制增长。我们的交互项分析可以在一定程度上区分这两种机制：如果自动化替代渠道主导，交互项符号应为负；如果 SBTC 主导，交互项符号应更接近零（或正——如果工业占比高同时意味着高技能劳动力集中）。</w:t>
      </w:r>
    </w:p>
    <w:p>
      <w:pPr>
        <w:spacing w:line="360" w:lineRule="auto"/>
      </w:pPr>
      <w:r>
        <w:rPr>
          <w:rFonts w:ascii="Times New Roman" w:hAnsi="Times New Roman" w:eastAsia="宋体"/>
          <w:sz w:val="24"/>
        </w:rPr>
        <w:t>假说 2（新任务创造渠道）：在高人力资本存量的国家，AI 算力对经济增长的正向效应更强。</w:t>
      </w:r>
    </w:p>
    <w:p>
      <w:pPr>
        <w:spacing w:line="360" w:lineRule="auto"/>
      </w:pPr>
      <w:r>
        <w:rPr>
          <w:rFonts w:ascii="Times New Roman" w:hAnsi="Times New Roman" w:eastAsia="宋体"/>
          <w:sz w:val="24"/>
        </w:rPr>
        <w:t>Acemoglu 和 Restrepo（2018）的新任务理论指出，AI 不仅替代劳动，同时也创造出需要劳动比较优势的新任务——即那些机器难以执行但人类（尤其是有技能的劳动者）能够高效完成的任务。这类新任务的创造和吸收需要劳动力具备充分的教育基础。在人力资本指数（pwt_human_capital_index，基于受教育年限和教育回报率的综合指标）较高的国家，劳动力更有可能在新 AI 任务中找到比较优势，从而更快地通过新任务创造恢复和扩大劳动需求，驱动 TFP 提升和经济增长。因此，我们预期算力与人力资本的交互项为正。</w:t>
      </w:r>
    </w:p>
    <w:p>
      <w:pPr>
        <w:spacing w:line="360" w:lineRule="auto"/>
      </w:pPr>
      <w:r>
        <w:rPr>
          <w:rFonts w:ascii="Times New Roman" w:hAnsi="Times New Roman" w:eastAsia="宋体"/>
          <w:sz w:val="24"/>
        </w:rPr>
        <w:t>然而，我们必须坦率地承认假说 2 的核心局限。人力资本指数测量的是劳动力的教育存量——一个高度加总且缓慢变化的指标——而非经济体创造和吸收新任务的动态能力。一个拥有高 HCI 的国家（如俄罗斯或乌克兰）未必是一个"新任务创造旺盛"的经济体——新任务创造还取决于制度环境、创业活力、金融市场深度和知识产权保护等多种因素。因此，假说 2 在当前的操作化下应被理解为一种探索性异质性分析，而非对新任务创造因果机制的严格检验。在稳健性检验部分，我们还使用了服务业增加值占 GDP 的比重（wdi_services_value_added_gdp）作为补充代理——ICT 和知识密集型服务业是新任务集中的领域——但同样承认其间接性和不完全性。</w:t>
      </w:r>
    </w:p>
    <w:p>
      <w:pPr>
        <w:spacing w:line="360" w:lineRule="auto"/>
      </w:pPr>
      <w:r>
        <w:rPr>
          <w:rFonts w:ascii="Times New Roman" w:hAnsi="Times New Roman" w:eastAsia="宋体"/>
          <w:sz w:val="24"/>
        </w:rPr>
        <w:t>除上述两个核心假说外，三个竞争性解释需要在实证分析前予以明确讨论。第一个竞争性解释是反向因果（synth_006）：经济增长速度更快的国家可能拥有更多的财政和私人部门资源来投资算力基础设施，从而形成"增长→算力投资"而非"算力→增长"的因果方向。我们的双向固定效应设定通过消除不随时间变化的国家特征（如地理、长期制度、文化传统）来缓解部分内生性，但无法排除时变的混淆因素。第二个竞争性解释是遗漏制度质量（rival_002）：产权保护、法治水平和政府效能——由 V-Dem 或 QoG 等数据集衡量的制度质量——可能同时驱动算力投资和经济增长。如果制度质量是真正的驱动因素，那么在不控制制度变量的情况下，算力的系数可能被高估（或低——取决于制度质量与算力的共变方向）。由于 QoG 数据尚未纳入本文的 pipeline，我们在讨论部分将此列为一项待解决的局限。第三个竞争性解释是 AI 可能不是真正的 GPT（rival_003）：Acemoglu（2025）的 0.53% 估计量级极小，暗示 AI 可能只是又一次普通的自动化浪潮，而非具有变革性增长效应的 GPT。如果 AI 不是 GPT，那么本研究的整个理论框架——以 GPT 为前提的渠道分解——就可能建立在错误的前提之上。但对于这一质疑，Brynjolfsson 等（2017）的生产率悖论提供了重要的反制论述：GPT 的生产率效应可能需要数十年才能充分显现，电力和计算机在发明后都经历了漫长的生产率滞后。本文的短面板（2015–2023）显然无法检验这种长滞后效应，因此将此问题留给更长的时间序列和未来研究。</w:t>
      </w:r>
    </w:p>
    <w:p>
      <w:pPr>
        <w:spacing w:line="360" w:lineRule="auto"/>
      </w:pPr>
      <w:r>
        <w:rPr>
          <w:rFonts w:ascii="Times New Roman" w:hAnsi="Times New Roman" w:eastAsia="宋体"/>
          <w:sz w:val="24"/>
        </w:rPr>
        <w:t>在进入实证分析之前，明确本文声称的适用范围（scope conditions）至关重要。第一，TOP500 算力数据覆盖的 185 个国家中，有 141 个国家在 2015–2023 年的任何一年都未在 TOP500 榜单中出现（log_total_rmax = 0）。这些"零算力"国家可能在云计算或 GPU 进口中实际使用 AI 算力，但 TOP500 无法捕捉这些使用形式。因此，我们分析中 log_total_rmax 的变异绝大部分来自有–无的广泛边际（extensive margin）而非算力强度的集约边际（intensive margin）：回归系数主要反映有 TOP500 系统的国家与没有 TOP500 系统的国家之间的增长差异，而非同一国家内部算力增减的增长效应。本文不声称结果适用于零算力国家。第二，TOP500 榜单从 1993 年开始记录，包含大量不以 AI 为主要用途的超级计算机（如气象模拟、核物理计算和生物信息学分析）。本文的策略是将 2015 年及以后的 TOP500 系统视为"日益服务于 AI 工作负载的算力基础设施"——这一声称基于 2015 年以来深度学习作为超级计算机主要工作负载之一的快速增长趋势，但并不能完全消除测量误差。第三，2015–2023 年仅有 9 年的分析窗口，对于检验可能需要 20–30 年才能充分显现的 GPT 效应而言，显然过短。</w:t>
      </w:r>
    </w:p>
    <w:p>
      <w:pPr>
        <w:spacing w:line="360" w:lineRule="auto"/>
      </w:pPr>
      <w:r>
        <w:rPr>
          <w:rFonts w:ascii="Times New Roman" w:hAnsi="Times New Roman" w:eastAsia="宋体"/>
          <w:sz w:val="24"/>
        </w:rPr>
        <w:t>在上述理论框架下，本文的贡献可以定位为以下三点。第一，本文提供了 Acemoglu-Restrepo 任务模型框架的首次跨国宏面实证应用——将此框架的核心渠道假说从美国和法国的企业层面扩展至 185 个国家的宏面层面，并引入跨国可比较的代理变量进行渠道异质性分析。第二，本文首次在跨国增长回归中使用物理算力（TOP500 总算力）作为 AI 能力的测量——区别于现有文献中普遍使用的以创新产出为基础的 AI 专利和以技术可行性为基础的 AI 职业暴露度。第三，本文在数据可得的前提下初步探索了全球层面的自动化-新任务渠道异质性模式。本文不声称因果识别、精确的渠道测量，或对零算力发展中国家的普适适用性。下文第四部分将介绍研究设计和数据，第五部分将报告实证结果。</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