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黑体"/>
          <w:b/>
          <w:sz w:val="32"/>
        </w:rPr>
        <w:t>人工智能算力基础设施与经济增长：</w:t>
        <w:br/>
        <w:t>基于跨国面板的初步证据</w:t>
      </w:r>
    </w:p>
    <w:p>
      <w:pPr>
        <w:pStyle w:val="Heading1"/>
        <w:spacing w:before="240" w:after="120"/>
        <w:ind w:firstLine="0"/>
      </w:pPr>
      <w:r>
        <w:rPr>
          <w:rFonts w:ascii="Times New Roman" w:hAnsi="Times New Roman" w:eastAsia="黑体"/>
          <w:color w:val="000000"/>
        </w:rPr>
        <w:t>四、研究设计与数据</w:t>
      </w:r>
    </w:p>
    <w:p>
      <w:pPr>
        <w:spacing w:line="360" w:lineRule="auto"/>
      </w:pPr>
      <w:r>
        <w:rPr>
          <w:rFonts w:ascii="Times New Roman" w:hAnsi="Times New Roman" w:eastAsia="宋体"/>
          <w:sz w:val="24"/>
        </w:rPr>
        <w:t>本文的分析数据来自四个核心来源。第一，经济增长数据来自 Penn World Table 11.0（Feenstra、Inklaar 和 Timmer，2015），提供 1960–2023 年 185 个国家的实际 GDP 人均值（2017 年不变国际美元）、人力资本指数、全要素生产率（TFP）和投资与贸易份额。第二，产业结构和人口控制变量来自世界银行世界发展指标（WDI），包括工业和服务业增加值占 GDP 比重、进出口占 GDP 比重、资本形成总额占 GDP 比重等。WDI 数据通过世界银行 API 获取，时间范围为 1960 年至今。第三，GDP 验证数据来自 Maddison Project Database 2023（Bolt 和 van Zanden，2020），用于对 PWT 增长数据进行来源交叉验证。第四，AI 算力数据来自 TOP500 全球超级计算机排名（top500.org），该数据库自 1993 年起每半年更新一次，记录全球最快的 500 台超级计算机的安装国家、Rmax（最大持续性能，以 TFlop/s 为单位）和处理器核心数等关键参数。</w:t>
      </w:r>
    </w:p>
    <w:p>
      <w:pPr>
        <w:spacing w:line="360" w:lineRule="auto"/>
      </w:pPr>
      <w:r>
        <w:rPr>
          <w:rFonts w:ascii="Times New Roman" w:hAnsi="Times New Roman" w:eastAsia="宋体"/>
          <w:sz w:val="24"/>
        </w:rPr>
        <w:t>我们将 TOP500 原始数据在国家–年份层面进行聚合，构建三个算力度量指标：（1）log_total_rmax——该国当年所有上榜系统的 Rmax 之和的自然对数，反映总算力存量；（2）system_count——该国当年上榜系统数量，反映算力的广泛边际；（3）avg_rmax——该国当年上榜系统的平均 Rmax，反映算力的集约边际。主分析使用 log_total_rmax 作为核心解释变量，因为它既捕捉了系统数量的增长（广泛边际），也捕捉了单个系统性能的提升（集约边际）。对于在特定年份未上榜的国家，log_total_rmax 赋值为 0——即假定这些国家的超算算力趋近于零（在 TOP500 门槛之下）。在 2015–2023 年的分析窗口中，185 个国家中有 44 个国家至少有一年出现在 TOP500 榜单上；log_total_rmax 的非零观测数为 937 个（占总观测的 7.9%），反映了全球超算算力高度集中于少数国家的事实。</w:t>
      </w:r>
    </w:p>
    <w:p>
      <w:pPr>
        <w:spacing w:line="360" w:lineRule="auto"/>
      </w:pPr>
      <w:r>
        <w:rPr>
          <w:rFonts w:ascii="Times New Roman" w:hAnsi="Times New Roman" w:eastAsia="宋体"/>
          <w:sz w:val="24"/>
        </w:rPr>
        <w:t>分析样本的构建遵循以下规则。被解释变量为 growth_annual——以 PWT 11.0 的实际 GDP 人均值对数差分计算的年度经济增长率（log gdp_pc_t − log gdp_pc_{t−1}）。所有控制变量滞后一期以缓解同期性内生性。分析窗口为 2015–2023 年（9 年），与 TOP500 数据覆盖完全重叠。样本限定于拥有完整案例的观测（所有变量非缺失），最终分析样本为 120 个国家 × 9 年 = 1080 个观测。growth_annual 变量在 1% 和 99% 分位数进行缩尾处理（winsorization），共影响 210 个观测，以降低极端增长值（如战后恢复性高增长和严重经济危机中的大幅负增长）对回归系数的影响。遵循项目研究设计纪律，本文不使用均值填补，不进行跨国插值，仅使用每一个国家自身的前序观测计算增长率和滞后变量。</w:t>
      </w:r>
    </w:p>
    <w:p>
      <w:pPr>
        <w:spacing w:line="360" w:lineRule="auto"/>
      </w:pPr>
      <w:r>
        <w:rPr>
          <w:rFonts w:ascii="Times New Roman" w:hAnsi="Times New Roman" w:eastAsia="宋体"/>
          <w:sz w:val="24"/>
        </w:rPr>
        <w:t>基准回归模型为双向固定效应设定：growth_annual_it = β₁·log_total_rmax_i,t−1 + γ·X_i,t−1 + α_i + δ_t + ε_it。其中 α_i 为国家固定效应（吸收所有不随时间变化的国家特征，如地理、殖民历史、长期制度），δ_t 为年份固定效应（吸收所有国家共享的时间趋势，如全球金融危机、COVID-19 冲击）。标准误在国 家层面聚类（cluster-robust standard errors），以允许同一国家内部不同年份之间的任意形式自相关。关键感兴趣的参数是 β₁——log_total_rmax 对年度增长率的条件偏效应。控制变量 X 包括：人力资本指数（pwt_human_capital_index）、投资份额（pwt_investment_share）、出口份额（pwt_export_share）、进口份额（pwt_import_share）、全要素生产率（pwt_tfp）、工业增加值占 GDP 比重（wdi_industry_value_added_gdp）和服务业增加值占 GDP 比重（wdi_services_value_added_gdp）。</w:t>
      </w:r>
    </w:p>
    <w:p>
      <w:pPr>
        <w:spacing w:line="360" w:lineRule="auto"/>
      </w:pPr>
      <w:r>
        <w:rPr>
          <w:rFonts w:ascii="Times New Roman" w:hAnsi="Times New Roman" w:eastAsia="宋体"/>
          <w:sz w:val="24"/>
        </w:rPr>
        <w:t>渠道异质性分析在基准模型的基础上加入核心解释变量与渠道代理变量的交互项：growth_annual_it = β₁·log_total_rmax_i,t−1 + β₂·log_total_rmax_i,t−1 × industry_share_i,t−1 + β₃·log_total_rmax_i,t−1 × human_capital_i,t−1 + γ·X_i,t−1 + α_i + δ_t + ε_it。其中 industry_share 为 wdi_industry_value_added_gdp（工业增加值占 GDP 的百分比，假说 1 的自动化暴露度代理），human_capital 为 pwt_human_capital_index（假说 2 的新任务暴露度代理）。假说 1 预测 β₂ &lt; 0：工业占比越高，算力的负向关联越强。假说 2 预测 β₃ &gt; 0：人力资本越高，算力的正向关联越强。需要强调的是，本文在交互项分析中严格使用"异质性分析"或"模式识别"的语言，而非"因果渠道检验"——交互项在双向固定效应设定下仍然面临内生性，且代理变量与所代理的理论概念之间的对应关系是间接的。</w:t>
      </w:r>
    </w:p>
    <w:p>
      <w:pPr>
        <w:spacing w:line="360" w:lineRule="auto"/>
      </w:pPr>
      <w:r>
        <w:rPr>
          <w:rFonts w:ascii="Times New Roman" w:hAnsi="Times New Roman" w:eastAsia="宋体"/>
          <w:sz w:val="24"/>
        </w:rPr>
        <w:t>在进入回归结果之前，有必要明确本文的识别策略定位。尽管本文使用了面板双向固定效应（TWFE）——在应用经济学文献中常见于"双重差分"研究——但本文的设计不是一个清洁的双重差分（DID）设计。核心原因在于：在 44 个曾在 TOP500 上榜的国家中，35 个国家在分析窗口的起始年（2015 年）就已经拥有 TOP500 系统（"always-treated"），仅有 9 个国家在 2015–2023 年之间首次上榜（"late entrants"）。这意味着传统的二元 DID 设定——依赖于有时间前后对比的"处理组"和"控制组"——在本研究中不可行。因此，本文的正确设定是连续处理型 TWFE（continuous treatment TWFE）：核心解释变量 log_total_rmax 在国家内部随时间变化（intensive margin），同时在国家之间持续变异（extensive margin）。本文不声称任何形式的"平均处理效应"（ATET 或 ATT），而是将结果解释为"在国家和年份固定效应条件下，log_total_rmax 与 growth_annual 的偏相关（partial correlation）"。</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