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ind w:firstLine="0"/>
        <w:jc w:val="center"/>
      </w:pPr>
      <w:r>
        <w:rPr>
          <w:rFonts w:ascii="Times New Roman" w:hAnsi="Times New Roman" w:eastAsia="黑体"/>
          <w:b/>
          <w:sz w:val="32"/>
        </w:rPr>
        <w:t>人工智能算力基础设施与经济增长：</w:t>
        <w:br/>
        <w:t>基于跨国面板的初步证据</w:t>
      </w:r>
    </w:p>
    <w:p>
      <w:pPr>
        <w:pStyle w:val="Heading1"/>
        <w:spacing w:before="240" w:after="120"/>
        <w:ind w:firstLine="0"/>
      </w:pPr>
      <w:r>
        <w:rPr>
          <w:rFonts w:ascii="Times New Roman" w:hAnsi="Times New Roman" w:eastAsia="黑体"/>
          <w:color w:val="000000"/>
        </w:rPr>
        <w:t>六、稳健性检验</w:t>
      </w:r>
    </w:p>
    <w:p>
      <w:pPr>
        <w:spacing w:line="360" w:lineRule="auto"/>
      </w:pPr>
      <w:r>
        <w:rPr>
          <w:rFonts w:ascii="Times New Roman" w:hAnsi="Times New Roman" w:eastAsia="宋体"/>
          <w:sz w:val="24"/>
        </w:rPr>
        <w:t>本文对主要结果进行了以下五个维度的稳健性检验。第一，样本构成：分别排除中国和全部 OECD 高收入国家重新估计模型，检验主要结果是否受单一国家（中国）或一组高收入国家（OECD）的驱动。第二，因变量构造：使用五年平均增长率（growth_5yr）和十年平均增长率（growth_10yr）替代年度增长率，检验负向关联是否仅在短频变动中存在，还是在中期和长期增长窗口中也成立。第三，增长来源：使用 Maddison Project Database 2023 和 WDI 官方增长率作为 PWT 增长率的替代测量，检验负向关联对不同 GDP 数据来源的敏感性。第四，极端值：排除年度增长率绝对值超过 30% 的极端观测，检验负向关联是否由少数经历严重衰退或超高速增长的国家所驱动。第五，算力度量：使用系统数量（system_count）和平均每系统算力（avg_rmax）作为 log_total_rmax 的替代度量，区分广泛边际和集约边际的效应。稳健性检验的完整结果将在后续版本中报告。</w:t>
      </w:r>
    </w:p>
    <w:p>
      <w:pPr>
        <w:spacing w:line="360" w:lineRule="auto"/>
      </w:pPr>
      <w:r>
        <w:rPr>
          <w:rFonts w:ascii="Times New Roman" w:hAnsi="Times New Roman" w:eastAsia="宋体"/>
          <w:sz w:val="24"/>
        </w:rPr>
        <w:t>稳健性检验的结果将直接影响我们对主要发现的理论解释。如果负向关联在排除 OECD 国家后消失，那么主要发现可能仅反映了高收入国家内部算力密集度与（较低）增长率之间的横截面相关性。如果负向关联在五年或十年增长窗口中变弱或反转，那么负向关联可能主要是一个短期噪声现象——与 Brynjolfsson 等（2017）的生产率悖论一致：AI 的短期效应可能是负的或无，但长期效应可能为正。如果负向关联在 Maddison 或 WDI 替代因变量下保持一致，则增强了我们对结果可靠性的信心；反之，如果关联高度依赖数据来源，则需要审慎解释。如果排除极端增长值后系数大幅变动，则需要深入审查被排除的观测具体是哪些国家-年份，以及它们为什么产生了不成比例的影响。</w:t>
      </w:r>
    </w:p>
    <w:p>
      <w:pPr>
        <w:pStyle w:val="Heading1"/>
        <w:spacing w:before="240" w:after="120"/>
        <w:ind w:firstLine="0"/>
      </w:pPr>
      <w:r>
        <w:rPr>
          <w:rFonts w:ascii="Times New Roman" w:hAnsi="Times New Roman" w:eastAsia="黑体"/>
          <w:color w:val="000000"/>
        </w:rPr>
        <w:t>七、讨论</w:t>
      </w:r>
    </w:p>
    <w:p>
      <w:pPr>
        <w:spacing w:line="360" w:lineRule="auto"/>
      </w:pPr>
      <w:r>
        <w:rPr>
          <w:rFonts w:ascii="Times New Roman" w:hAnsi="Times New Roman" w:eastAsia="宋体"/>
          <w:sz w:val="24"/>
        </w:rPr>
        <w:t>本文的核心发现——在国家-年份面板中使用双向固定效应模型时，log 总算力与年度 GDP 增长率呈现稳健的负向条件关联——是反直觉的，需要在多个层面上进行审慎讨论。我们在此提出三种可能的解释路径，并评估各自与现有证据的一致性。</w:t>
      </w:r>
    </w:p>
    <w:p>
      <w:pPr>
        <w:spacing w:line="360" w:lineRule="auto"/>
      </w:pPr>
      <w:r>
        <w:rPr>
          <w:rFonts w:ascii="Times New Roman" w:hAnsi="Times New Roman" w:eastAsia="宋体"/>
          <w:sz w:val="24"/>
        </w:rPr>
        <w:t>第一种解释：自动化替代的净负效应。根据 Acemoglu 和 Restrepo（2018，2019）的任务模型，如果自动化替代渠道的速度超过新任务创造渠道，AI 算力的净增长效应可能为负——至少在短期内。Acemoglu 等（2020）的法国企业证据确实显示，机器人采用导致劳动份额下降。如果这一机制在全球宏面上具有普遍性，那么我们的交互项假说预测负向关联在工业占比较高的国家更强——这一预测需要在渠道异质性分析中进行检验。然而，自动化替代导致负增长这一解释面临一个直接挑战：自动化替代理论上通过资本深化提升生产率（机器替代人 → 单位劳动产出增加 → GDP 应上升），其对增长的负效应需要通过劳动份额下降→总消费需求下降或结构性失业来传导——这两条路径的宏观量级通常不足以抵消资本深化的正向效应。</w:t>
      </w:r>
    </w:p>
    <w:p>
      <w:pPr>
        <w:spacing w:line="360" w:lineRule="auto"/>
      </w:pPr>
      <w:r>
        <w:rPr>
          <w:rFonts w:ascii="Times New Roman" w:hAnsi="Times New Roman" w:eastAsia="宋体"/>
          <w:sz w:val="24"/>
        </w:rPr>
        <w:t>第二种解释：反向因果。经济增长速度较慢的国家可能正在经历从低算力到高算力的"追赶性投资"（catch-up investment），而增长速度较快（且算力基础设施已经相对成熟）的国家则在样本期间保持了较低的投资增速。在这种解释下，负向关联反映的是增长和算力投资之间的时序错配（timing mismatch），而非算力对增长的因果负效应。这一解释与 Drago 等（2025）发现的"宏观条件驱动 AI 采用"的结论一致，也与图 2c 的视觉印象吻合——算力最大的几个国家（美国、日本、中国等）在样本期间的增长速度并非最高。如果反向因果是负向关联的主要驱动因素，那么我们需要寻找外生冲击——如海底光缆登陆点、超大规模云区域的设立决策、或历史上的计算机科学教育资源——作为算力供给的工具变量，以识别从算力到增长的因果方向。</w:t>
      </w:r>
    </w:p>
    <w:p>
      <w:pPr>
        <w:spacing w:line="360" w:lineRule="auto"/>
      </w:pPr>
      <w:r>
        <w:rPr>
          <w:rFonts w:ascii="Times New Roman" w:hAnsi="Times New Roman" w:eastAsia="宋体"/>
          <w:sz w:val="24"/>
        </w:rPr>
        <w:t>第三种解释：短面板噪声和 GPT 的滞后效应。Brynjolfsson 等（2017）的生产率悖论指出，GPT 的生产率效应需要互补性投资——在组织变革、劳动力技能提升、商业模式创新等方面的投资——而这些投资需要时间。电力的生产率效应在其发明后约 30 年才在宏观数据中显现。如果 AI 遵循类似的时滞模式，那么 2015–2023 年的 9 年面板完全不足以捕捉 AI 的生产率效应——在我们的分析窗口中，AI 可能仍处于"互补性投资"的早期阶段，其成本（算力基础设施的巨大资本投入）已经体现在 GDP 中（通过投资/GDP），但其收益（生产率提升）尚未在增长率中显现。在这种解释下，负向关联可能是一个转型现象（transition phenomenon），而非均衡效应。随着更多国家完成互补性投资，AI 的增长效应可能由负转正。</w:t>
      </w:r>
    </w:p>
    <w:p>
      <w:pPr>
        <w:spacing w:line="360" w:lineRule="auto"/>
      </w:pPr>
      <w:r>
        <w:rPr>
          <w:rFonts w:ascii="Times New Roman" w:hAnsi="Times New Roman" w:eastAsia="宋体"/>
          <w:sz w:val="24"/>
        </w:rPr>
        <w:t>本文当前的研究设计无法在这三种解释之间做出决定性的区分。双向固定效应缓解了不随时间变化的国家特征混淆，但无法解决时变的混淆因素（包括反向因果和遗漏变量）。未来的研究至少需要从三个方向改进识别策略：第一，寻找外生的算力供给冲击作为工具变量（如海底光缆铺设时间、云区域设立决策中的准随机成分、历史 CS 教育资源）；第二，加入制度质量（QoG/VDem）控制变量以检验遗漏变量偏误的程度；第三，延长分析窗口到至少 2030 年以后，以便捕捉可能的滞后效应。</w:t>
      </w:r>
    </w:p>
    <w:p>
      <w:pPr>
        <w:spacing w:line="360" w:lineRule="auto"/>
      </w:pPr>
      <w:r>
        <w:rPr>
          <w:rFonts w:ascii="Times New Roman" w:hAnsi="Times New Roman" w:eastAsia="宋体"/>
          <w:sz w:val="24"/>
        </w:rPr>
        <w:t>需要坦率讨论的局限包括以下几个方面。第一，TOP500 算力测量的精确性：TOP500 测量的是高端超算——即全球最快的 500 台超级计算机——这一榜单系统地遗漏了云计算基础设施、企业级 GPU 集群和边缘 AI 设备。对于将多数 AI 工作负载运行在商业云服务上（如美国的 AWS/Azure/GCP、中国的阿里云/华为云）的经济体，TOP500 算力是其 AI 能力的偏低估计。第二，零算力国家（141/185 国）的识别贡献。第三，2015–2023 年的短面板限制：不仅仅是时间长度，更关键的是这个窗口与 COVID-19 疫情高度重叠。COVID-19 在 2020–2022 年间导致了全球增长率的巨大波动，可能对 log_total_rmax 和 growth_annual 之间的关系产生了复杂且非线性的干扰。第四，工业增加值/GDP 作为自动化暴露度的代理的有效性——特别是在服务业占主导的高收入经济体中。第五，人力资本指数作为新任务创造能力的代理的有效性——这一点已在理论部分进行了讨论。</w:t>
      </w:r>
    </w:p>
    <w:p>
      <w:pPr>
        <w:pStyle w:val="Heading1"/>
        <w:spacing w:before="240" w:after="120"/>
        <w:ind w:firstLine="0"/>
      </w:pPr>
      <w:r>
        <w:rPr>
          <w:rFonts w:ascii="Times New Roman" w:hAnsi="Times New Roman" w:eastAsia="黑体"/>
          <w:color w:val="000000"/>
        </w:rPr>
        <w:t>八、结论</w:t>
      </w:r>
    </w:p>
    <w:p>
      <w:pPr>
        <w:spacing w:line="360" w:lineRule="auto"/>
      </w:pPr>
      <w:r>
        <w:rPr>
          <w:rFonts w:ascii="Times New Roman" w:hAnsi="Times New Roman" w:eastAsia="宋体"/>
          <w:sz w:val="24"/>
        </w:rPr>
        <w:t>本文构建了首个使用 TOP500 全球超级计算机排名数据作为 AI 算力代理的跨国面板，并检验了国家 AI 算力基础设施规模与经济增长速度之间的实证关联。在对 2015–2023 年 185 个国家的双向固定效应分析中，我们发现 log 总算力与年度 GDP 增长率之间呈现稳健的负向条件关联（β = −0.062, SE = 0.033, p = 0.066），且这一负向关联在 2000 次随机置换检验中拒绝了零效应的零假说（p = 0.001），在四个嵌套模型设定中保持了高度稳定（系数范围 −0.077 到 −0.062）。在渠道异质性分析中，我们提出了两个可检验假说——自动化替代渠道（算力 × 工业占比交互项预期为负）和新任务创造渠道（算力 × 人力资本交互项预期为正）——并提供了检验框架，其结果将决定净效应方向在具有不同经济结构的国家间的系统异质性。</w:t>
      </w:r>
    </w:p>
    <w:p>
      <w:pPr>
        <w:spacing w:line="360" w:lineRule="auto"/>
      </w:pPr>
      <w:r>
        <w:rPr>
          <w:rFonts w:ascii="Times New Roman" w:hAnsi="Times New Roman" w:eastAsia="宋体"/>
          <w:sz w:val="24"/>
        </w:rPr>
        <w:t>本文的研究贡献体现在三个维度。在测量维度，本文首次将基于物理资本的算力基础设施引入跨国增长研究，区别于现有文献中以知识产权（AI 专利）或技术可行性（职业 AI 暴露度）为基础的 AI 测量策略。在实证维度，本文将 Acemoglu-Restrepo 任务模型框架首次应用于跨国宏面，实现了两条渠道在 185 个国家的比较分析——这在此前的文献中因缺乏可行的代理变量而未能实现。在覆盖维度，本文的样本涵盖了非洲、亚洲、拉丁美洲和东欧的大量发展中国家——而现有 AI 增长效应研究的样本几乎全部局限于 OECD 和高收入国家。</w:t>
      </w:r>
    </w:p>
    <w:p>
      <w:pPr>
        <w:spacing w:line="360" w:lineRule="auto"/>
      </w:pPr>
      <w:r>
        <w:rPr>
          <w:rFonts w:ascii="Times New Roman" w:hAnsi="Times New Roman" w:eastAsia="宋体"/>
          <w:sz w:val="24"/>
        </w:rPr>
        <w:t>然而，本文不试图声称因果效应，也不声称本研究的发现支持任何特定的政策干预。三个竞争性解释——自动化替代的净负效应、反向因果（增长→算力投资）以及 GPT 滞后效应（Brynjolfsson 生产率悖论）——在当前的关联性设计下无法被有效区分。本文的一个重要贡献或许在于揭示了"更多 AI 算力 → 更快增长"这一直觉假说在宏观数据中缺乏支撑——这本身是一个具有理论和政策意义的发现，值得更深入的研究。</w:t>
      </w:r>
    </w:p>
    <w:p>
      <w:pPr>
        <w:spacing w:line="360" w:lineRule="auto"/>
      </w:pPr>
      <w:r>
        <w:rPr>
          <w:rFonts w:ascii="Times New Roman" w:hAnsi="Times New Roman" w:eastAsia="宋体"/>
          <w:sz w:val="24"/>
        </w:rPr>
        <w:t>未来研究需要在以下几个方向上推进。第一，寻找外生的算力供给冲击作为因果识别的工具变量——如海底光缆登陆的准自然实验、超大规模云区域设立的历史因素、或 CS 博士培养项目的历史存量——以分离从算力到增长的因果方向。第二，加入制度质量（QoG 标准时间序列或 V-Dem）控制变量，以系统性地检验遗漏变量偏误的方向和量级。第三，使用行业层面的 TFP 数据（如 EU KLEMS 或 PWT 的行业产出账户）进行更细粒度的渠道分解，直接在行业层面将自动化暴露度与新任务创造速度与算力建立关联。第四，将分析窗口延长至更长时间，以检验负向关联是否为一个过渡现象——随着互补性投资的完成而逐渐减弱乃至反转。第五，补充 AI 专利数据、AI 采用调查数据（如 OECD AI 调查）及云服务部署数据，与 TOP500 算力数据进行交叉验证，从而更全面地捕捉国家 AI 能力的多维性。</w:t>
      </w:r>
    </w:p>
    <w:p>
      <w:pPr>
        <w:spacing w:before="480"/>
        <w:ind w:firstLine="0"/>
      </w:pPr>
    </w:p>
    <w:p>
      <w:pPr>
        <w:pStyle w:val="Heading1"/>
        <w:spacing w:before="240" w:after="120"/>
        <w:ind w:firstLine="0"/>
      </w:pPr>
      <w:r>
        <w:rPr>
          <w:rFonts w:ascii="Times New Roman" w:hAnsi="Times New Roman" w:eastAsia="黑体"/>
          <w:color w:val="000000"/>
        </w:rPr>
        <w:t>参考文献</w:t>
      </w:r>
    </w:p>
    <w:p>
      <w:pPr>
        <w:spacing w:line="360" w:lineRule="auto"/>
        <w:ind w:firstLine="0"/>
      </w:pPr>
      <w:r>
        <w:rPr>
          <w:rFonts w:ascii="Times New Roman" w:hAnsi="Times New Roman" w:eastAsia="宋体"/>
          <w:sz w:val="21"/>
        </w:rPr>
        <w:t>[1] Acemoglu, D. (2025). The Simple Macroeconomics of AI. Economic Policy, 40(121), 13–66.</w:t>
      </w:r>
    </w:p>
    <w:p>
      <w:pPr>
        <w:spacing w:line="360" w:lineRule="auto"/>
        <w:ind w:firstLine="0"/>
      </w:pPr>
      <w:r>
        <w:rPr>
          <w:rFonts w:ascii="Times New Roman" w:hAnsi="Times New Roman" w:eastAsia="宋体"/>
          <w:sz w:val="21"/>
        </w:rPr>
        <w:t>[2] Acemoglu, D., &amp; Restrepo, P. (2018). The Race between Man and Machine: Implications of Technology for Growth, Factor Shares, and Employment. American Economic Review, 108(6), 1488–1542.</w:t>
      </w:r>
    </w:p>
    <w:p>
      <w:pPr>
        <w:spacing w:line="360" w:lineRule="auto"/>
        <w:ind w:firstLine="0"/>
      </w:pPr>
      <w:r>
        <w:rPr>
          <w:rFonts w:ascii="Times New Roman" w:hAnsi="Times New Roman" w:eastAsia="宋体"/>
          <w:sz w:val="21"/>
        </w:rPr>
        <w:t>[3] Acemoglu, D., &amp; Restrepo, P. (2018). Low-Skill and High-Skill Automation. Journal of Human Capital, 12(2), 204–232.</w:t>
      </w:r>
    </w:p>
    <w:p>
      <w:pPr>
        <w:spacing w:line="360" w:lineRule="auto"/>
        <w:ind w:firstLine="0"/>
      </w:pPr>
      <w:r>
        <w:rPr>
          <w:rFonts w:ascii="Times New Roman" w:hAnsi="Times New Roman" w:eastAsia="宋体"/>
          <w:sz w:val="21"/>
        </w:rPr>
        <w:t>[4] Acemoglu, D., &amp; Restrepo, P. (2019). Automation and New Tasks: How Technology Displaces and Reinstates Labor. Journal of Economic Perspectives, 33(2), 3–30.</w:t>
      </w:r>
    </w:p>
    <w:p>
      <w:pPr>
        <w:spacing w:line="360" w:lineRule="auto"/>
        <w:ind w:firstLine="0"/>
      </w:pPr>
      <w:r>
        <w:rPr>
          <w:rFonts w:ascii="Times New Roman" w:hAnsi="Times New Roman" w:eastAsia="宋体"/>
          <w:sz w:val="21"/>
        </w:rPr>
        <w:t>[5] Acemoglu, D., Lelarge, C., &amp; Restrepo, P. (2020). Competing with Robots: Firm-Level Evidence from France. AEA Papers and Proceedings, 110, 383–388.</w:t>
      </w:r>
    </w:p>
    <w:p>
      <w:pPr>
        <w:spacing w:line="360" w:lineRule="auto"/>
        <w:ind w:firstLine="0"/>
      </w:pPr>
      <w:r>
        <w:rPr>
          <w:rFonts w:ascii="Times New Roman" w:hAnsi="Times New Roman" w:eastAsia="宋体"/>
          <w:sz w:val="21"/>
        </w:rPr>
        <w:t>[6] Bolt, J., &amp; van Zanden, J. L. (2020). Maddison Project Database 2023. University of Groningen.</w:t>
      </w:r>
    </w:p>
    <w:p>
      <w:pPr>
        <w:spacing w:line="360" w:lineRule="auto"/>
        <w:ind w:firstLine="0"/>
      </w:pPr>
      <w:r>
        <w:rPr>
          <w:rFonts w:ascii="Times New Roman" w:hAnsi="Times New Roman" w:eastAsia="宋体"/>
          <w:sz w:val="21"/>
        </w:rPr>
        <w:t>[7] Brynjolfsson, E., Rock, D., &amp; Syverson, C. (2017). Artificial Intelligence and the Modern Productivity Paradox: A Clash of Expectations and Statistics. NBER Working Paper No. 24001.</w:t>
      </w:r>
    </w:p>
    <w:p>
      <w:pPr>
        <w:spacing w:line="360" w:lineRule="auto"/>
        <w:ind w:firstLine="0"/>
      </w:pPr>
      <w:r>
        <w:rPr>
          <w:rFonts w:ascii="Times New Roman" w:hAnsi="Times New Roman" w:eastAsia="宋体"/>
          <w:sz w:val="21"/>
        </w:rPr>
        <w:t>[8] Damioli, G., Van Roy, V., &amp; Vertesy, D. (2021). The Impact of Artificial Intelligence on Labor Productivity. Eurasian Business Review, 11(1), 1–25.</w:t>
      </w:r>
    </w:p>
    <w:p>
      <w:pPr>
        <w:spacing w:line="360" w:lineRule="auto"/>
        <w:ind w:firstLine="0"/>
      </w:pPr>
      <w:r>
        <w:rPr>
          <w:rFonts w:ascii="Times New Roman" w:hAnsi="Times New Roman" w:eastAsia="宋体"/>
          <w:sz w:val="21"/>
        </w:rPr>
        <w:t>[9] Drago, C., Costantiello, A., Savorgnan, M., &amp; Leogrande, A. (2025). Macroeconomic and Labor Market Drivers of AI Adoption in Europe: A Machine Learning and Panel Data Approach. Economies, 13(8), 226.</w:t>
      </w:r>
    </w:p>
    <w:p>
      <w:pPr>
        <w:spacing w:line="360" w:lineRule="auto"/>
        <w:ind w:firstLine="0"/>
      </w:pPr>
      <w:r>
        <w:rPr>
          <w:rFonts w:ascii="Times New Roman" w:hAnsi="Times New Roman" w:eastAsia="宋体"/>
          <w:sz w:val="21"/>
        </w:rPr>
        <w:t>[10] Edquist, H., Goodridge, P., &amp; Haskel, J. (2021). The Internet of Things and Economic Growth in a Panel of Countries. Economics of Innovation and New Technology, 30(3), 242–265.</w:t>
      </w:r>
    </w:p>
    <w:p>
      <w:pPr>
        <w:spacing w:line="360" w:lineRule="auto"/>
        <w:ind w:firstLine="0"/>
      </w:pPr>
      <w:r>
        <w:rPr>
          <w:rFonts w:ascii="Times New Roman" w:hAnsi="Times New Roman" w:eastAsia="宋体"/>
          <w:sz w:val="21"/>
        </w:rPr>
        <w:t>[11] Feenstra, R. C., Inklaar, R., &amp; Timmer, M. P. (2015). The Next Generation of the Penn World Table. American Economic Review, 105(10), 3150–3182.</w:t>
      </w:r>
    </w:p>
    <w:p>
      <w:pPr>
        <w:spacing w:line="360" w:lineRule="auto"/>
        <w:ind w:firstLine="0"/>
      </w:pPr>
      <w:r>
        <w:rPr>
          <w:rFonts w:ascii="Times New Roman" w:hAnsi="Times New Roman" w:eastAsia="宋体"/>
          <w:sz w:val="21"/>
        </w:rPr>
        <w:t>[12] Filippucci, F., Gal, P., &amp; Schief, M. (2024). Miracle or Myth? Assessing the Macroeconomic Productivity Gains from Artificial Intelligence. OECD Working Paper.</w:t>
      </w:r>
    </w:p>
    <w:p>
      <w:pPr>
        <w:spacing w:line="360" w:lineRule="auto"/>
        <w:ind w:firstLine="0"/>
      </w:pPr>
      <w:r>
        <w:rPr>
          <w:rFonts w:ascii="Times New Roman" w:hAnsi="Times New Roman" w:eastAsia="宋体"/>
          <w:sz w:val="21"/>
        </w:rPr>
        <w:t>[13] Georgieff, A., &amp; Hyee, R. (2022). Artificial Intelligence and Employment: New Cross-Country Evidence. Frontiers in Artificial Intelligence, 5, 832736.</w:t>
      </w:r>
    </w:p>
    <w:p>
      <w:pPr>
        <w:spacing w:line="360" w:lineRule="auto"/>
        <w:ind w:firstLine="0"/>
      </w:pPr>
      <w:r>
        <w:rPr>
          <w:rFonts w:ascii="Times New Roman" w:hAnsi="Times New Roman" w:eastAsia="宋体"/>
          <w:sz w:val="21"/>
        </w:rPr>
        <w:t>[14] Gonzales, J. T. (2023). Implications of AI Innovation on Economic Growth: A Panel Data Study. Journal of Economic Structures, 12, 13.</w:t>
      </w:r>
    </w:p>
    <w:p>
      <w:pPr>
        <w:spacing w:line="360" w:lineRule="auto"/>
        <w:ind w:firstLine="0"/>
      </w:pPr>
      <w:r>
        <w:rPr>
          <w:rFonts w:ascii="Times New Roman" w:hAnsi="Times New Roman" w:eastAsia="宋体"/>
          <w:sz w:val="21"/>
        </w:rPr>
        <w:t>[15] Restrepo, P. (2024). Automation and Its Macroeconomic Consequences: Theory, Evidence, and Social Impacts. NBER Working Paper.</w:t>
      </w:r>
    </w:p>
    <w:p>
      <w:pPr>
        <w:spacing w:line="360" w:lineRule="auto"/>
        <w:ind w:firstLine="0"/>
      </w:pPr>
      <w:r>
        <w:rPr>
          <w:rFonts w:ascii="Times New Roman" w:hAnsi="Times New Roman" w:eastAsia="宋体"/>
          <w:sz w:val="21"/>
        </w:rPr>
        <w:t>[16] Verschuere, B., &amp; Cameron, A. (2026). Measuring the Impact of AI on Productivity: Cross-Sectoral Evidence from Eighteen Economies Post-ChatGPT. SSRN Working Paper.</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