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黑体"/>
          <w:b/>
          <w:sz w:val="44"/>
        </w:rPr>
        <w:t>写作支架：文献综述与理论部分</w:t>
      </w:r>
    </w:p>
    <w:p>
      <w:pPr>
        <w:jc w:val="center"/>
      </w:pPr>
      <w:r>
        <w:rPr>
          <w:rFonts w:ascii="Times New Roman" w:hAnsi="Times New Roman" w:eastAsia="楷体"/>
          <w:sz w:val="32"/>
        </w:rPr>
        <w:t>AI 算力与经济增长 —— 跨国面板研究</w:t>
      </w:r>
    </w:p>
    <w:p/>
    <w:p>
      <w:pPr>
        <w:jc w:val="center"/>
      </w:pPr>
      <w:r>
        <w:rPr>
          <w:rFonts w:ascii="Times New Roman" w:hAnsi="Times New Roman" w:eastAsia="宋体"/>
          <w:color w:val="808080"/>
          <w:sz w:val="20"/>
        </w:rPr>
        <w:t>Skill: academic-writing-scaffold | 生成日期: 2026-07-04</w:t>
        <w:br/>
        <w:t>硬边界: 作者自己写最终正文 — 本文档仅提供段落骨架、证据槽、风险标注和作者决策点</w:t>
      </w:r>
    </w:p>
    <w:p>
      <w:r>
        <w:br w:type="page"/>
      </w:r>
    </w:p>
    <w:p>
      <w:pPr>
        <w:pStyle w:val="Heading1"/>
      </w:pPr>
      <w:r>
        <w:rPr>
          <w:color w:val="000000"/>
        </w:rPr>
        <w:t>使用说明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sz w:val="22"/>
        </w:rPr>
        <w:t>本文档遵循 academic-writing-scaffold 技能规范：不代写最终正文，而是将证据映射为段落骨架、证据槽和作者决策点。每个段落的 "证据与论据槽" 和 "作者任务 / Writer Task" 两栏由 AI 填充，"作者手写正文" 一栏留空由你（Adrian）填写。</w:t>
      </w:r>
    </w:p>
    <w:p>
      <w:pPr>
        <w:spacing w:line="360" w:lineRule="auto"/>
      </w:pPr>
      <w:r>
        <w:rPr>
          <w:rFonts w:ascii="Times New Roman" w:hAnsi="Times New Roman" w:eastAsia="宋体"/>
          <w:b/>
          <w:i w:val="0"/>
          <w:sz w:val="22"/>
        </w:rPr>
        <w:t>表格中的风险标注：</w:t>
      </w:r>
    </w:p>
    <w:p>
      <w:r>
        <w:rPr>
          <w:rFonts w:ascii="Times New Roman" w:hAnsi="Times New Roman" w:eastAsia="宋体"/>
          <w:sz w:val="20"/>
        </w:rPr>
        <w:t xml:space="preserve">  🔴 P0（学术诚信边界）：不能写的内容，只能提供支架</w:t>
      </w:r>
    </w:p>
    <w:p>
      <w:r>
        <w:rPr>
          <w:rFonts w:ascii="Times New Roman" w:hAnsi="Times New Roman" w:eastAsia="宋体"/>
          <w:sz w:val="20"/>
        </w:rPr>
        <w:t xml:space="preserve">  🟠 P1（无支撑或虚假声称）：需要证据或删除</w:t>
      </w:r>
    </w:p>
    <w:p>
      <w:r>
        <w:rPr>
          <w:rFonts w:ascii="Times New Roman" w:hAnsi="Times New Roman" w:eastAsia="宋体"/>
          <w:sz w:val="20"/>
        </w:rPr>
        <w:t xml:space="preserve">  🟡 P2（过度声称或因果漂移）：需软化或加诊断</w:t>
      </w:r>
    </w:p>
    <w:p>
      <w:r>
        <w:rPr>
          <w:rFonts w:ascii="Times New Roman" w:hAnsi="Times New Roman" w:eastAsia="宋体"/>
          <w:sz w:val="20"/>
        </w:rPr>
        <w:t xml:space="preserve">  🟢 P3（措辞不清晰）：建议修订目标</w:t>
      </w:r>
    </w:p>
    <w:p>
      <w:r>
        <w:br w:type="page"/>
      </w:r>
    </w:p>
    <w:p>
      <w:pPr>
        <w:pStyle w:val="Heading1"/>
      </w:pPr>
      <w:r>
        <w:rPr>
          <w:color w:val="000000"/>
        </w:rPr>
        <w:t>第一部分：文献综述段落骨架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sz w:val="20"/>
        </w:rPr>
        <w:t>按争论群（debate cluster）组织，不按论文列表。目标期刊：《管理世界》。目标长度：约 2000–2500 字（中文正文）。</w:t>
      </w:r>
    </w:p>
    <w:p>
      <w:pPr>
        <w:pStyle w:val="Heading2"/>
      </w:pPr>
      <w:r>
        <w:rPr>
          <w:color w:val="000000"/>
        </w:rPr>
        <w:t>争论群 1：AI 是一种真正的通用目的技术（GPT）吗？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680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134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段落目的 / Purpose</w:t>
            </w:r>
          </w:p>
        </w:tc>
        <w:tc>
          <w:tcPr>
            <w:tcW w:type="dxa" w:w="2268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证据与论据槽 / Claim Slot</w:t>
            </w:r>
          </w:p>
        </w:tc>
        <w:tc>
          <w:tcPr>
            <w:tcW w:type="dxa" w:w="1701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支撑证据</w:t>
            </w:r>
          </w:p>
        </w:tc>
        <w:tc>
          <w:tcPr>
            <w:tcW w:type="dxa" w:w="1417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需引用文献</w:t>
            </w:r>
          </w:p>
        </w:tc>
        <w:tc>
          <w:tcPr>
            <w:tcW w:type="dxa" w:w="2268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风险标注</w:t>
            </w:r>
          </w:p>
        </w:tc>
        <w:tc>
          <w:tcPr>
            <w:tcW w:type="dxa" w:w="2551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作者任务 / Writer Task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LR-P1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7"/>
              </w:rPr>
              <w:t>开场定位：AI 宏观效应的研究意义，引出量级争议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7"/>
              </w:rPr>
              <w:t>AI 被广泛理论化为一种 GPT。Acemoglu (2025) 估计 AI 对 TFP 的 10 年累计效应仅约 0.53%，与产业界预期形成巨大反差。这一量级争议是本研究的研究动机之一。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7"/>
              </w:rPr>
              <w:t>Acemoglu (2025, Economic Policy) — 0.53% TFP estimate</w:t>
              <w:br/>
              <w:t>Brynjolfsson et al. (2017, NBER) — GPT framework</w:t>
              <w:br/>
              <w:t>Gonzales (2023) — AI patents → positive but small growth effect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7"/>
              </w:rPr>
              <w:t>Acemoglu (2025) 精确引用 0.53% 的具体假设和置信区间</w:t>
              <w:br/>
              <w:t>Brynjolfsson (2017) 的 GPT 框架原文</w:t>
              <w:br/>
              <w:t>Gonzales (2023) 的跨国面板效应量级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7"/>
              </w:rPr>
              <w:t xml:space="preserve">  P2: 避免 "AI will transform everything" 风格的空泛开头</w:t>
              <w:br/>
              <w:t xml:space="preserve">  P2: 不要声称 "AI 是 GPT 已成共识" — 审稿人会视为证据不足</w:t>
              <w:br/>
              <w:t xml:space="preserve">  P3: 0.53% 的单位是 TFP 增长百分点，不是 GDP 增长率 — 勿混淆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7"/>
              </w:rPr>
              <w:t>写出一个具体而非空泛的开头。建议以 Acemoglu (2025) 的 0.53% 估计为钩子：量级远小于产业界预期，但这是目前最严谨的宏观校准。自然的张力 → 引出"算力是否产生不同量级的效应？"</w:t>
            </w:r>
          </w:p>
        </w:tc>
      </w:tr>
      <w:tr>
        <w:tc>
          <w:tcPr>
            <w:tcW w:type="dxa" w:w="680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LR-P2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阐述 GPT 假说 + 量级争议 + rival_003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AI 作为 GPT：增长效应通过资本深化、TFP 提升和劳动力替代三条路径传导。实证方向一致为正但量级极小（Acemoglu 0.53%）。竞争性解释（rival_003）认为 AI 可能只是普通自动化浪潮而非革命性 GPT — 电力在发明 30 年后才显现生产率效应，AI 可能同样滞后。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Acemoglu &amp; Restrepo (2019, JEP) — task model</w:t>
              <w:br/>
              <w:t>Acemoglu &amp; Restrepo (2018, AER) — race model calibration</w:t>
              <w:br/>
              <w:t>Acemoglu (2025) — 0.53%</w:t>
              <w:br/>
              <w:t>Damioli et al. (2021) — AI patents → labor productivity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Damioli (2021) 的效应量级具体数字</w:t>
              <w:br/>
              <w:t>Acemoglu &amp; Restrepo (2019, JEP) 的任务框架精确表述</w:t>
              <w:br/>
              <w:t>rival_003 需提及 Brynjolfsson 生产率悖论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 xml:space="preserve">  P2: 不要声称 "GPT 已成定论"</w:t>
              <w:br/>
              <w:t xml:space="preserve">  P2: 不要混用 Acemoglu (2025) 的宏观校准和 Damioli (2021) 的微观估计 — 它们测量不同尺度</w:t>
              <w:br/>
              <w:t xml:space="preserve">  P3: "the jury is still out" 比 "it is now clear" 更安全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决定本研究在 GPT 争论中的定位：站在 "GPT 假说成立但量级未明" 的一侧？还是站在 "AI 可能不是 GPT" 的怀疑侧？前者让你有理论合法性做渠道分解，后者让你需要在实证前先打一场理论战。向《管理世界》读者传达的应是 "国际前沿争论 + 本研究的经验贡献" 的定位。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LR-P3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7"/>
              </w:rPr>
              <w:t>过渡：即使接受 GPT 假说，效应通过什么渠道实现？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7"/>
              </w:rPr>
              <w:t>如果 AI 是 GPT，其增长效应的渠道构成——自动化替代 vs 新任务创造——决定了净效应的方向和量级。Acemoglu &amp; Restrepo (2018, 2019) 的任务模型为此提供了直接的理论框架。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7"/>
              </w:rPr>
              <w:t>Acemoglu &amp; Restrepo (2019, JEP) — task model</w:t>
              <w:br/>
              <w:t>Acemoglu &amp; Restrepo (2018, AER) — race between man and machine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7"/>
              </w:rPr>
              <w:t xml:space="preserve">  P3: 不要把这一段写成文献列表 — 用 1-2 句自然过渡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7"/>
              </w:rPr>
              <w:t>用简洁的过渡句引出渠道争论。这一段只需 2-3 句话。</w:t>
            </w:r>
          </w:p>
        </w:tc>
      </w:tr>
      <w:tr>
        <w:tc>
          <w:tcPr>
            <w:tcW w:type="dxa" w:w="680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LR-P4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渠道之争：自动化替代渠道 — 理论 + 微观证据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自动化渠道：AI 算力（资本）替代 routine 和 cognitive 任务中的劳动 → 劳动份额下降 → 短期资本回报上升。微观证据 — Acemoglu et al. (2020) 法国企业级机器人采用 → 劳动份额显著下降，竞争对手就业减少。Restrepo (2024) 综述确认替代效应共识。但在跨国宏观层面，自动化替代的增长净效应尚不清楚：资本深化 vs 劳动替代的相对量级未被分离。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Acemoglu &amp; Restrepo (2019, JEP)</w:t>
              <w:br/>
              <w:t>Acemoglu &amp; Restrepo (2018, AER)</w:t>
              <w:br/>
              <w:t>Acemoglu et al. (2020, AEA P&amp;P) — French firm evidence</w:t>
              <w:br/>
              <w:t>Restrepo (2024, NBER) — automation survey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Acemoglu et al. (2020) 的具体效应量级</w:t>
              <w:br/>
              <w:t>Restrepo (2024) 的综述覆盖范围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 xml:space="preserve">  P2: 不要从法国企业证据跳跃到跨国宏观声称 — 明确指出 "微观证据有" 但 "宏观分解缺"</w:t>
              <w:br/>
              <w:t xml:space="preserve">  P2: 不要在此段引入我们的交互项操作化 — 那是实证策略部分的内容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重点写 "为什么渠道分解重要" 而非 "我们怎么做"。渠道的操作化留在实证策略部分。rival_001 (SBTC vs task-replacement) 是否在此段提及或留到理论部分？SBTC 是劳动经济学中的成熟框架，审稿人如果熟悉会期待你至少提及。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LR-P5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7"/>
              </w:rPr>
              <w:t>渠道之争：新任务创造渠道 — 理论 + 操作化困难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7"/>
              </w:rPr>
              <w:t>新任务渠道：AI 创造劳动具有比较优势的新任务 → 恢复和扩大劳动需求 → TFP 提升 → 正增长效应。Acemoglu &amp; Restrepo (2018, JHC) 进一步提出高低技能自动化模型：低技能自动化增加不平等，高技能自动化减少不平等。但新任务渠道的跨国宏观操作化遭遇一个核心困难：新任务创造本身不可直接观测，现有研究缺乏可行的代理变量。这也是文献中尚无渠道分解实证的重要原因。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7"/>
              </w:rPr>
              <w:t>Acemoglu &amp; Restrepo (2019, JEP)</w:t>
              <w:br/>
              <w:t>Acemoglu &amp; Restrepo (2018, AER)</w:t>
              <w:br/>
              <w:t>Acemoglu &amp; Restrepo (2018, JHC) — skill heterogeneity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7"/>
              </w:rPr>
              <w:t>Acemoglu &amp; Restrepo (2018, JHC) 的具体模型设定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7"/>
              </w:rPr>
              <w:t xml:space="preserve">  P2: 不要把 "人力资本指数" 写成 "新任务创造" — 这是本文的代理变量，而非直接测量</w:t>
              <w:br/>
              <w:t xml:space="preserve">  P3: 对操作化困难的承认比隐瞒更有说服力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7"/>
              </w:rPr>
              <w:t>明确指出 "尚无文献在跨国宏面做渠道分解"，以此定位本研究的贡献边界。如果决定接受 HCI 作为新任务代理（synth_003），在此段暗示即可，不展开操作化细节。</w:t>
            </w:r>
          </w:p>
        </w:tc>
      </w:tr>
      <w:tr>
        <w:tc>
          <w:tcPr>
            <w:tcW w:type="dxa" w:w="680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LR-P6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边界条件：谁受益？发达 vs 发展中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AI 增长效应的异质性：Gonzales (2023) 发现 AI 效应在发达经济体更稳健；Damioli et al. (2021) 的样本主要覆盖 OECD。发展中国家面临数据基础设施、技能短缺和制度薄弱三重约束。然而，中国、印度、巴西等非 OECD 但拥有大规模算力基础设施的国家，可能遵循不同于 "发达-发展中" 二分法的模式。这部分异质性检验是本研究对文献的另一个贡献点。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Gonzales (2023) — advanced economies</w:t>
              <w:br/>
              <w:t>Damioli et al. (2021) — mainly OECD</w:t>
              <w:br/>
              <w:t>Georgieff &amp; Hyee (2022) — heterogeneous employment effects</w:t>
              <w:br/>
              <w:t>synth_004 — boundary condition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Gonzales (2023) 异质性检验的具体结果</w:t>
              <w:br/>
              <w:t>Damioli (2021) 的样本组成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 xml:space="preserve">  P2: 不要在此段声称政策结论（如 "AI 只能富国受益"）— 超出了设计范围</w:t>
              <w:br/>
              <w:t xml:space="preserve">  P2: 发展中国家约束的 "三重约束" 声称需要文献支撑 — 如果 QoG 数据未进入 pipeline，只能用现有文献做理论推导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向《管理世界》读者：此段是引入中国视角的天然入口。是否在此处提及 "中国作为全球最大算力投资国之一，其增长模式可能不同于 OECD 国家" 作为叙事钩子？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LR-P7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7"/>
              </w:rPr>
              <w:t>测量 gap：专利 vs 算力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7"/>
              </w:rPr>
              <w:t>现有文献全部使用 AI 专利（Gonzales 2023; Damioli 2021）或职业 AI 暴露度（Verschuere &amp; Cameron 2026; Georgieff &amp; Hyee 2022）作为 AI 的代理变量。AI 专利测量的是创新产出，不测量实际使用强度。TOP500 超算算力测量的是 AI 基础设施的物质投入——物理资本而非知识产权。这两种测量应有正相关但不完全重合。本研究是首次在跨国面板中使用算力基础设施作为 AI 能力代理的实证研究。需坦率声明 TOP500 的局限：包含部分非 AI 系统，无法捕捉云算力和边缘设备。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7"/>
              </w:rPr>
              <w:t>Gonzales (2023) — AI patents</w:t>
              <w:br/>
              <w:t>Damioli (2021) — AI patents</w:t>
              <w:br/>
              <w:t>Verschuere &amp; Cameron (2026) — AI exposure</w:t>
              <w:br/>
              <w:t>Georgieff &amp; Hyee (2022) — AI exposure</w:t>
              <w:br/>
              <w:t>synth_005 — measurement gap</w:t>
              <w:br/>
              <w:t>scope_003 — TOP500 limitation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7"/>
              </w:rPr>
              <w:t>需确认 "首次使用 TOP500 算力作为 AI 能力代理" 的声称 — 是否确实无已发表文献？</w:t>
              <w:br/>
              <w:t>Gonzales 和 Damioli 使用 AI 专利的具体测量方式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7"/>
              </w:rPr>
              <w:t xml:space="preserve">  P1: 如果 "首次" 声称未经验证，属于虚假声称 — 必须确认无已发表研究使用 TOP500 或类似算力数据做 AI 代理</w:t>
              <w:br/>
              <w:t xml:space="preserve">  P2: 不要说 "AI 算力" 如果实际测量的是 "通用超算" — 措辞: "算力基础设施（以 TOP500 超算总 Rmax 衡量）"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7"/>
              </w:rPr>
              <w:t>决定论文中使用的术语：(a) "AI 算力"（声称更强，风险更高）vs (b) "算力基础设施"（保守但更准确）。如果选 (a)，需在此段给出 justify 的理由。如果选 (b)，整篇论文的定位从 "AI 研究" 变为 "算力基础设施研究" — 投稿策略可能不同。</w:t>
            </w:r>
          </w:p>
        </w:tc>
      </w:tr>
      <w:tr>
        <w:tc>
          <w:tcPr>
            <w:tcW w:type="dxa" w:w="680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LR-P8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收束：总结文献缺口，引出研究问题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总结三个文献缺口：(1) 无算力→增长的直接跨国实证 — 所有现有证据来自专利或暴露度；(2) 无跨国宏面渠道分解 — 自动化 vs 新任务的净效应在跨国宏层完全未经检验；(3) 发展中经济体的 AI 增长效应被系统性忽略。本研究针对这三个缺口，使用 2015-2023 年 185 国面板和 TOP500 算力数据，检验算力与增长的关联方向，并尝试通过交互项模式识别探索可能的渠道异质性。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docs/literature_open_questions.md — Literature Gaps</w:t>
              <w:br/>
              <w:t>synth_005, synth_002, synth_003 — synthesis summaries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 xml:space="preserve">  P2: 不要过度承诺："填补 gap" 比 "解决 gap" 更准确</w:t>
              <w:br/>
              <w:t xml:space="preserve">  P2: 如果写成 "本研究首次…" 需要对应三个 gap 各给出第一次做什么</w:t>
              <w:br/>
              <w:t xml:space="preserve">  P3: 不要在此段列出具体回归方程 — 那是实证策略部分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写简短收束（3-4 句）。不要在此段列表式抛出所有研究假说 — 留给理论部分。收束的最后一句话应自然过渡到下一部分（理论框架 / 研究假说 / 实证策略）。</w:t>
            </w:r>
          </w:p>
        </w:tc>
      </w:tr>
    </w:tbl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