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第二部分：理论部分段落骨架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0"/>
        </w:rPr>
        <w:t>基于 theory_workbench.md 中的 Candidate Object Review、Rival Review、Scope Review。目标长度：约 1500–2000 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680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134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段落目的 / Purpose</w:t>
            </w:r>
          </w:p>
        </w:tc>
        <w:tc>
          <w:tcPr>
            <w:tcW w:type="dxa" w:w="2551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证据与论据槽 / Claim Slot</w:t>
            </w:r>
          </w:p>
        </w:tc>
        <w:tc>
          <w:tcPr>
            <w:tcW w:type="dxa" w:w="1417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竞争/范围</w:t>
            </w:r>
          </w:p>
        </w:tc>
        <w:tc>
          <w:tcPr>
            <w:tcW w:type="dxa" w:w="1417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需引用文献</w:t>
            </w:r>
          </w:p>
        </w:tc>
        <w:tc>
          <w:tcPr>
            <w:tcW w:type="dxa" w:w="2268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风险标注</w:t>
            </w:r>
          </w:p>
        </w:tc>
        <w:tc>
          <w:tcPr>
            <w:tcW w:type="dxa" w:w="2551"/>
            <w:shd w:fill="1565C0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18"/>
              </w:rPr>
              <w:t>作者任务 / Writer Task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TH-P1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7"/>
              </w:rPr>
              <w:t>理论建构：定位 AI 作为 GPT 的概念框架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提出核心理论主张：AI 是一种 GPT（或 "具有 GPT 特征的技术"），其增长效应通过两条竞争性渠道 — 自动化替代（labor-substituting）和新任务创造（labor-reinstating）— 实现。自动化替代减少劳动份额（Acemoglu &amp; Restrepo 2018），新任务创造恢复劳动需求。两者的相对速度决定净增长效应的方向和量级。此框架直接源自 Acemoglu &amp; Restrepo 的任务模型（2018 AER; 2019 JEP），但扩展了以下维度：(1) 将 "自动化技术" 操作化为可跨国比较的算力基础设施；(2) 聚焦 GDP 增长而非劳动份额；(3) 将原本为美国/法国设计的框架应用于全球 185 国。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7"/>
              </w:rPr>
              <w:t>synth_001: GPT concept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7"/>
              </w:rPr>
              <w:t>Acemoglu &amp; Restrepo (2018, AER)</w:t>
              <w:br/>
              <w:t>Acemoglu &amp; Restrepo (2019, JEP)</w:t>
              <w:br/>
              <w:t>Acemoglu (2025, Economic Policy)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 xml:space="preserve">  P1/2: 如果用 "AI 是一种 GPT" 而 peer reviewer 指出 rival_003，你必须在论文某处事先处理此反驳</w:t>
              <w:br/>
              <w:t xml:space="preserve">  P2: "我们的贡献是扩展" 需要谨慎 — 扩展未必是理论贡献，可能只是实证应用</w:t>
              <w:br/>
              <w:t xml:space="preserve">  P3: 不要在此段写 "我们首次…" — 贡献声明应集中在导论或结论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写概念框架的你自己的话。Acemoglu-Restrepo 框架的读者面很广，不需要逐句转述 — 只需要抓住核心逻辑并定位扩展点。决定用词: "AI 作为一种 GPT" 还是 "AI 作为一种具有 GPT 特征的技术"？前者更强但风险更高。</w:t>
            </w:r>
          </w:p>
        </w:tc>
      </w:tr>
      <w:tr>
        <w:tc>
          <w:tcPr>
            <w:tcW w:type="dxa" w:w="680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TH-P2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机制 1：自动化替代渠道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自动化替代渠道：actor = AI 算力（资本）→ action = 替代劳动在 routine 和 cognitive 任务中的角色 → mediating condition：被替代任务的劳动份额越高，替代效应越大 → outcome：劳动份额下降，短期资本回报上升，增长净效应不确定。跨国可检验含义 (H1)：在工业/GDP 占比较高的国家，算力对增长的净效应应更偏负（或正效应更小）— 因为更高的工业占比意味着更大的自动化暴露度。此假说面临 SBTC 替代解释（rival_001）：如果 AI 是技能偏向型技术进步而非任务替代型，则高技能劳动力被补充而非替代，净就业可能上升。本研究的交互项设计可以部分区分这两种机制。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rival_001: SBTC</w:t>
              <w:br/>
              <w:t>scope_001: industry proxy in service economies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Acemoglu &amp; Restrepo (2019, JEP) — automation channel</w:t>
              <w:br/>
              <w:t>Acemoglu et al. (2020, AEA P&amp;P) — firm-level evidence</w:t>
              <w:br/>
              <w:t>Restrepo (2024, NBER) — survey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 xml:space="preserve">  P2: 不要把交互项写成 "因果渠道检验" — 审稿人会指出在双向 FE 下交互项仍然面临内生性</w:t>
              <w:br/>
              <w:t xml:space="preserve">  P2: SBTC 作为 rival 在此段提及即可（1-2 句），不需要长篇展开</w:t>
              <w:br/>
              <w:t xml:space="preserve">  P3: "可检验含义" 使用 "假说" (hypothesis) 措辞 — 暗示这是需要检验而非已知的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写一个干净的理论假说陈述。格式: H1: [理论逻辑] → [可检验的预测]。决定是叫 "假说 1" (Hypothesis 1) 还是 "可检验含义 1" (Testable Implication 1) — 《管理世界》更偏好前者。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TH-P3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7"/>
              </w:rPr>
              <w:t>机制 2：新任务创造渠道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新任务创造渠道：actor = AI 算力 → action = 创造劳动具有比较优势的新任务 → mediating condition：人力资本存量越高的国家越易创造和吸收新任务 → outcome：劳动需求恢复，TFP 提升，增长效应为正。跨国可检验含义 (H2)：在人力资本指数较高的国家，算力对增长的净效应应更偏正。此渠道的操作化面临核心困难：新任务创造本身不可直接观测。本研究的策略是使用人力资本指数 (pwt_human_capital_index) 作为国家吸收新任务能力的代理变量 — 高 HCI 表明劳动力具备教育基础，从而更可能在新 AI 任务中发挥比较优势。坦率承认此代理的局限：(1) HCI 不直接测量新任务创造；(2) 低 HCI 国家可能因方差不足无法识别交互效应（scope_002）；(3) ICT 服务出口或技术创业率可能是更好的代理，但数据可得性受限。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7"/>
              </w:rPr>
              <w:t>scope_002: HCI threshold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7"/>
              </w:rPr>
              <w:t>Acemoglu &amp; Restrepo (2019, JEP)</w:t>
              <w:br/>
              <w:t>Acemoglu &amp; Restrepo (2018, JHC)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 xml:space="preserve">  P1/2: 这是整篇论文中理论部分最薄弱的环节。如果对此渠道的操作化不自信，写的时候用 "探索性" 而非 "检验性" 语言</w:t>
              <w:br/>
              <w:t xml:space="preserve">  P2: 代理变量的局限比事后补救好 — 坦诚的局限比事后被审稿人指出更容易过关</w:t>
              <w:br/>
              <w:t xml:space="preserve">  P3: 不要说 "HCI 精确测量新任务创造" — 这是错误声称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决定此渠道的定位：(a) 正式假说 (H2) 与 H1 并列 → 暗示同等理论地位（更强）; (b) 探索性异质性分析 → 暗示理论地位较弱但实证更诚实。如果选 (a)，必须加强代理变量的理论 justification。如果选 (b)，需在结论部分指出未来研究方向。</w:t>
            </w:r>
          </w:p>
        </w:tc>
      </w:tr>
      <w:tr>
        <w:tc>
          <w:tcPr>
            <w:tcW w:type="dxa" w:w="680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TH-P4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竞争性解释与识别威胁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三个竞争性解释：(1) 反向因果（synth_006）：经济增长 → 更多资源投入算力基础设施，而非算力 → 增长。双向固定效应仅缓解时不变国家特征混淆，时变混淆（如同时决定增长和算力投资的制度变迁/政策冲击）仍然存在。(2) 遗漏变量（rival_002）：制度质量（产权保护、治理能力）可能同时驱动算力投资和经济增长。如果 QoG/VDem 指标加入后系数收敛至零，则算力效应为虚假。(3) AI 可能不是真正的 GPT（rival_003）：Acemoglu (2025) 的 0.53% TFP 估计量级极小，暗示 AI 可能只是普通自动化浪潮。但 Brynjolfsson 生产率悖论指出 GPT 的生产率效应可能需要数十年显现 — 电力在发明 30 年后才在宏观数据中产生可测度的生产率跃升。本研究的短面板 (2015-2023) 无法检验长滞后效应。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synth_006: reverse causality</w:t>
              <w:br/>
              <w:t>rival_002: omitted institutions</w:t>
              <w:br/>
              <w:t>rival_003: AI not GPT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Drago et al. (2025) — macro drivers</w:t>
              <w:br/>
              <w:t>Brynjolfsson et al. (2017) — productivity paradox</w:t>
              <w:br/>
              <w:t>QoG/VDem — planned pipeline module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 xml:space="preserve">  P2: 不要在写识别威胁的同时声称 "我们的 placebo test p=0.001 解决了内生性" — placebo test 解决的是零效应的随机性，不解决反向因果</w:t>
              <w:br/>
              <w:t xml:space="preserve">  P2: rival_002 (制度遗漏) 如果 QoG 不在 pipeline 中，必须写 "未来研究需加入制度控制后验证"</w:t>
              <w:br/>
              <w:t xml:space="preserve">  P3: 不要让 rival 部分读起来像是自我否定 — 目的是展示你意识到了威胁，而非你的设计毫无价值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决定竞争性解释的呈现方式：独立一段还是融入机制讨论？对于《管理世界》，独立的 "识别挑战与回应" 段落是标准做法。用 "本研究的策略是…但承认以下限制…" 的结构。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TH-P5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 w:eastAsia="宋体"/>
                <w:sz w:val="17"/>
              </w:rPr>
              <w:t>范围条件与外部有效性边界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四个范围条件（scope conditions）：(1) 零算力国家（141/185 国）：TOP500 覆盖不足意味着算力效应的识别严重依赖有-无对比（extensive margin），而非算力强度（intensive margin）。不声称本研究结果适用于这些国家。(2) TOP500 ≠ AI 专用算力：TOP500 从 1993 年起记录的是通用超算，包含大量非 AI 系统。本研究的策略是将 2015 年及以后的 TOP500 算力视为 "日益服务于 AI 工作负载的算力基础设施"，但此声称需要谨慎措辞。(3) 工业占比代理（scope_001）：自动化暴露度在服务业为主的经济体中不适用 — 服务业中的认知自动化不反映在工业份额中。(4) 短面板限制（2015-2023）：9 年面板无法捕捉 GPT 的后发生产率效应。Brynjolfsson 生产率悖论暗示可能需要 20-30 年。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7"/>
              </w:rPr>
              <w:t>scope_003: TOP500 nature</w:t>
              <w:br/>
              <w:t>scope_001: service economies</w:t>
              <w:br/>
              <w:t>scope_002: HCI threshold</w:t>
              <w:br/>
              <w:t>synth_007: zero-compute countries</w:t>
            </w:r>
          </w:p>
        </w:tc>
        <w:tc>
          <w:tcPr>
            <w:tcW w:type="dxa" w:w="1417"/>
          </w:tcPr>
          <w:p>
            <w:r/>
            <w:r>
              <w:rPr>
                <w:rFonts w:ascii="Times New Roman" w:hAnsi="Times New Roman" w:eastAsia="宋体"/>
                <w:sz w:val="17"/>
              </w:rPr>
              <w:t>Brynjolfsson et al. (2017)</w:t>
              <w:br/>
              <w:t>TOP500 数据说明文档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宋体"/>
                <w:sz w:val="17"/>
              </w:rPr>
              <w:t xml:space="preserve">  P2: 范围条件不应读作 "我们的研究不行" — 应读作 "我们严格定义了本研究声称的适用范围"</w:t>
              <w:br/>
              <w:t xml:space="preserve">  P3: "不声称本研究结果适用于零算力国家" 是正确的 — 比声称普适性后被审稿人要求限定范围好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写范围条件时的语气：不是为缺陷道歉，而是界定本研究声称的适用域。好的范围条件让论文更有可信度，而不是更弱。决定是否在正文中加入一个 "适用范围" 子标题。</w:t>
            </w:r>
          </w:p>
        </w:tc>
      </w:tr>
      <w:tr>
        <w:tc>
          <w:tcPr>
            <w:tcW w:type="dxa" w:w="680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TH-P6</w:t>
            </w:r>
          </w:p>
        </w:tc>
        <w:tc>
          <w:tcPr>
            <w:tcW w:type="dxa" w:w="1134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理论贡献定位与收束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理论贡献需谨慎定位：(1) Acemoglu-Restrepo 任务模型的宏面跨国扩展 — 将原本针对美国/法国的分析框架扩展至 185 国面板；(2) 提出算力基础设施作为 AI 能力的操作化测量 — 区别于现有文献全部使用专利/暴露度的方法；(3) 在数据限制内初步探索自动化 vs 新任务渠道在跨国宏面上的异质性模式 — 为未来更精细的渠道测量提供方向。本研究不声称：(a) 因果识别（当前设计为关联性证据）；(b) 新任务渠道的精确测量（HCI 为粗糙代理）；(c) 对零算力发展中国家的外部有效性。收束句：在此理论框架下，本文接下来讨论研究设计、数据和实证策略。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All synthesis ids — positioning summary</w:t>
            </w:r>
          </w:p>
        </w:tc>
        <w:tc>
          <w:tcPr>
            <w:tcW w:type="dxa" w:w="1417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—</w:t>
            </w:r>
          </w:p>
        </w:tc>
        <w:tc>
          <w:tcPr>
            <w:tcW w:type="dxa" w:w="2268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 xml:space="preserve">  P1/2: "扩展 Acemoglu-Restrepo 框架" — 如果是理论贡献，需明确扩展了什么，而不仅仅是 "用了他们的框架"</w:t>
              <w:br/>
              <w:t xml:space="preserve">  P2: 三个 "不声称" 必须与你论文正文的所有声称一致 — 此处是最容易被审稿人抓到的前后矛盾处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rFonts w:ascii="Times New Roman" w:hAnsi="Times New Roman" w:eastAsia="宋体"/>
                <w:sz w:val="17"/>
              </w:rPr>
              <w:t>这一段的实质是 "我们在这篇论文中声称什么，不声称什么"。这是整篇论文的理论契约 (theory contract)。写完后回头检查：回归结果部分的声称是否超出了此处定义的边界？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附录：作者决策清单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2"/>
        </w:rPr>
        <w:t>以下决策需在正式撰写正文前作出。按紧急程度排序。</w:t>
      </w:r>
    </w:p>
    <w:p/>
    <w:p>
      <w:pPr>
        <w:spacing w:line="360" w:lineRule="auto"/>
      </w:pPr>
      <w:r>
        <w:rPr>
          <w:rFonts w:ascii="Times New Roman" w:hAnsi="Times New Roman" w:eastAsia="宋体"/>
          <w:b/>
          <w:i w:val="0"/>
          <w:sz w:val="22"/>
        </w:rPr>
        <w:t>紧急（Blocking）：不决定则无法下笔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0"/>
        </w:rPr>
        <w:t>1. 算力测量声称 — 论文中用 "AI 算力（TOP500）" 还是 "算力基础设施（TOP500）"？前者声称更强但可质疑（scope_003），后者更准确但改变论文定位。此决定影响全文所有段落的措辞。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0"/>
        </w:rPr>
        <w:t>2. 核心 narrative — 本研究的主要贡献声称是什么？(a) 首次用算力替代专利测量 AI；(b) 首次做跨国渠道分解；(c) 两者都是？此决定影响导论、文献综述、理论部分的所有贡献声明。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0"/>
        </w:rPr>
        <w:t>3. 中国的定位 — 《管理世界》读者期待中国视角。在文献综述中是否将 "中国作为全球最大算力投资国之一" 作为叙事钩子？如果不加中国视角，审稿人可能质疑 "此文与中文读者的相关性何在？"</w:t>
      </w:r>
    </w:p>
    <w:p/>
    <w:p>
      <w:pPr>
        <w:spacing w:line="360" w:lineRule="auto"/>
      </w:pPr>
      <w:r>
        <w:rPr>
          <w:rFonts w:ascii="Times New Roman" w:hAnsi="Times New Roman" w:eastAsia="宋体"/>
          <w:b/>
          <w:i w:val="0"/>
          <w:sz w:val="22"/>
        </w:rPr>
        <w:t>重要（Important）：应在下笔前决定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0"/>
        </w:rPr>
        <w:t>4. 新任务渠道的定位 — 正式假说（H2）与 H1 并列，还是降级为 "探索性异质性分析"？此决定影响理论部分 TH-P3 的措辞和结论部分的贡献声明。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0"/>
        </w:rPr>
        <w:t>5. Acemoglu 0.53% 的定位 — 作为基准预期（null）还是作为被挑战的目标（alternative）？此决定影响导论钩子和文献综述 LR-P1 的叙事方向。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0"/>
        </w:rPr>
        <w:t>6. 内生性策略 — 如果 QoG 数据近期无法加入 pipeline，理论部分 TH-P4 中 "遗漏制度变量" 的措辞应该是 "本文承认此限制" 还是 "本文计划在未来版本中纳入制度控制"？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0"/>
        </w:rPr>
        <w:t>7. 竞争性解释的呈现 — 独立一段（TH-P4 现状）还是分散到各机制段落中？独立一段更符合《管理世界》的标准格式，但可能导致 TH-P4 读起来像是 "自我批评"。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0"/>
        </w:rPr>
        <w:t>8. 结果部分的声称边界 — 当前 DID 诊断为负号（p=0.066）。如果最终发表时系数仍为负，理论部分的叙事是否需要调整？（目前理论部分是 "效应方向不确定" — 如果结果为负，需要解释；如果结果为正，也需要解释。）</w:t>
      </w:r>
    </w:p>
    <w:p/>
    <w:p>
      <w:pPr>
        <w:spacing w:line="360" w:lineRule="auto"/>
      </w:pPr>
      <w:r>
        <w:rPr>
          <w:rFonts w:ascii="Times New Roman" w:hAnsi="Times New Roman" w:eastAsia="宋体"/>
          <w:b/>
          <w:i w:val="0"/>
          <w:sz w:val="22"/>
        </w:rPr>
        <w:t>可延后（Can defer）：不影响开始写作，但需在定稿前解决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0"/>
        </w:rPr>
        <w:t>9. 是否补充 AI 专利数据做代理变量交叉验证（synth_005）？如果补充，论文的贡献会从 "first to use compute" 变为 "compute vs. patents comparison" — 前者更独特，后者更全面。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0"/>
        </w:rPr>
        <w:t>10. 中文文献补充搜索 — 管理世界/经济研究/中国工业经济中关于 AI 与增长的实证研究是否还有遗漏？当前仅有蔡跃洲 (2019) 和谢伟丽 (2025) 两篇候选。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0"/>
        </w:rPr>
        <w:t>11. 论文标题 — 当前暂定 "AI 算力与经济增长"，最终标题取决于核心 narrative 的定位决策。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附录：AI 使用边界声明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2"/>
        </w:rPr>
        <w:t>本文档由 academic-writing-scaffold skill 生成，遵循以下边界：</w:t>
      </w:r>
    </w:p>
    <w:p>
      <w:r>
        <w:rPr>
          <w:rFonts w:ascii="Times New Roman" w:hAnsi="Times New Roman" w:eastAsia="宋体"/>
          <w:sz w:val="20"/>
        </w:rPr>
        <w:t xml:space="preserve">  ✅ 允许：证据清单、论据槽（claim slots）、段落目的描述、需引用文献列表、风险标注、作者决策问题</w:t>
      </w:r>
    </w:p>
    <w:p>
      <w:r>
        <w:rPr>
          <w:rFonts w:ascii="Times New Roman" w:hAnsi="Times New Roman" w:eastAsia="宋体"/>
          <w:sz w:val="20"/>
        </w:rPr>
        <w:t xml:space="preserve">  ❌ 禁止：完整正文段落、导论定稿、文献综述定稿、摘要、结论、可直接粘贴入稿件的 prose</w:t>
      </w:r>
    </w:p>
    <w:p>
      <w:r>
        <w:rPr>
          <w:rFonts w:ascii="Times New Roman" w:hAnsi="Times New Roman" w:eastAsia="宋体"/>
          <w:sz w:val="20"/>
        </w:rPr>
        <w:t xml:space="preserve">  作者需在 "作者手写正文" 一栏中用自己的语言撰写最终正文</w:t>
      </w:r>
    </w:p>
    <w:p>
      <w:r>
        <w:rPr>
          <w:rFonts w:ascii="Times New Roman" w:hAnsi="Times New Roman" w:eastAsia="宋体"/>
          <w:sz w:val="20"/>
        </w:rPr>
        <w:t xml:space="preserve">  生成的 claim_ledger.csv 已通过 validate_claim_ledger.py 验证（10 条 claim，全部 PASS）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12"/>
        </w:rPr>
      </w:r>
    </w:p>
    <w:p>
      <w:pPr>
        <w:spacing w:line="360" w:lineRule="auto"/>
      </w:pPr>
      <w:r>
        <w:rPr>
          <w:rFonts w:ascii="Times New Roman" w:hAnsi="Times New Roman" w:eastAsia="宋体"/>
          <w:b/>
          <w:i w:val="0"/>
          <w:sz w:val="20"/>
        </w:rPr>
        <w:t>交付物清单：</w:t>
      </w:r>
    </w:p>
    <w:p>
      <w:r>
        <w:rPr>
          <w:rFonts w:ascii="Times New Roman" w:hAnsi="Times New Roman" w:eastAsia="宋体"/>
          <w:sz w:val="18"/>
        </w:rPr>
        <w:t xml:space="preserve">  📄 docs/evidence_inventory.md — 证据清单</w:t>
      </w:r>
    </w:p>
    <w:p>
      <w:r>
        <w:rPr>
          <w:rFonts w:ascii="Times New Roman" w:hAnsi="Times New Roman" w:eastAsia="宋体"/>
          <w:sz w:val="18"/>
        </w:rPr>
        <w:t xml:space="preserve">  📄 docs/literature_review_scaffold.md — 文献综述支架（Markdown 版）</w:t>
      </w:r>
    </w:p>
    <w:p>
      <w:r>
        <w:rPr>
          <w:rFonts w:ascii="Times New Roman" w:hAnsi="Times New Roman" w:eastAsia="宋体"/>
          <w:sz w:val="18"/>
        </w:rPr>
        <w:t xml:space="preserve">  📄 docs/theory_workbench.md — 理论工作台</w:t>
      </w:r>
    </w:p>
    <w:p>
      <w:r>
        <w:rPr>
          <w:rFonts w:ascii="Times New Roman" w:hAnsi="Times New Roman" w:eastAsia="宋体"/>
          <w:sz w:val="18"/>
        </w:rPr>
        <w:t xml:space="preserve">  📄 docs/claim_ledger.csv — 论据账本（10 条，已验证）</w:t>
      </w:r>
    </w:p>
    <w:p>
      <w:r>
        <w:rPr>
          <w:rFonts w:ascii="Times New Roman" w:hAnsi="Times New Roman" w:eastAsia="宋体"/>
          <w:sz w:val="18"/>
        </w:rPr>
        <w:t xml:space="preserve">  📄 docs/writing_scaffold/part1_literature_review.docx — 文献综述段落骨架（Word 版）</w:t>
      </w:r>
    </w:p>
    <w:p>
      <w:r>
        <w:rPr>
          <w:rFonts w:ascii="Times New Roman" w:hAnsi="Times New Roman" w:eastAsia="宋体"/>
          <w:sz w:val="18"/>
        </w:rPr>
        <w:t xml:space="preserve">  📄 docs/writing_scaffold/part2_theory_scaffold.docx — 本文档（理论段落骨架 + 决策清单）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12"/>
        </w:rPr>
      </w:r>
    </w:p>
    <w:p>
      <w:pPr>
        <w:spacing w:line="360" w:lineRule="auto"/>
      </w:pPr>
      <w:r>
        <w:rPr>
          <w:rFonts w:ascii="Times New Roman" w:hAnsi="Times New Roman" w:eastAsia="宋体"/>
          <w:b/>
          <w:i w:val="0"/>
          <w:sz w:val="20"/>
        </w:rPr>
        <w:t>下一技能路由建议：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20"/>
        </w:rPr>
        <w:t>→ ask_author: 回答上述 11 个决策问题</w:t>
        <w:br/>
        <w:t>→ literature-matrix: 升级核心文献到 verified_primary</w:t>
        <w:br/>
        <w:t>→ [作者自己写]: 在段骨架的 "作者手写正文" 栏中用自己语言写最终正文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i w:val="0"/>
          <w:sz w:val="12"/>
        </w:rPr>
      </w:r>
    </w:p>
    <w:p>
      <w:pPr>
        <w:spacing w:line="360" w:lineRule="auto"/>
      </w:pPr>
      <w:r>
        <w:rPr>
          <w:rFonts w:ascii="Times New Roman" w:hAnsi="Times New Roman" w:eastAsia="宋体"/>
          <w:b/>
          <w:i/>
          <w:sz w:val="20"/>
        </w:rPr>
        <w:t>Author must write final prose. 本文档是学术写作支架，不是论文草稿。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