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第三部分：三栏式写作工作台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这是 author-workbench.md 中定义的三栏式工作台。中间栏（证据与论据槽）由 AI 填充，右栏（作者手写正文）留空由你填写。左栏为段落编号。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此工作台覆盖从引言到结论的完整论文骨架。格式为 "段落编号 | 证据与论据槽 | 作者手写正文"。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pStyle w:val="Heading2"/>
      </w:pPr>
      <w:r>
        <w:rPr>
          <w:color w:val="000000"/>
        </w:rPr>
        <w:t>引言 (Introduction)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实证问题：AI 的宏观增长效应量级存在重大争议。Acemoglu (2025) 估计 10 年 TFP 效应仅 ~0.53%，远低于产业界和政策界的预期。与此同时，全球 AI 算力投资以每年 &gt;50% 的速度增长（TOP500 总 Rmax 趋势可引用）。这一 "投资爆炸" 与 "效应模糊" 的张力构成研究动机。</w:t>
              <w:br/>
              <w:br/>
              <w:t>数据事实：2015-2023 年间，185 国中仅 44 国曾在 TOP500 出现过。全球算力高度集中于美国、中国、日本和少数欧洲国家。</w:t>
              <w:br/>
              <w:br/>
              <w:t>来源: Acemoglu (2025) 0.53%; TOP500 1993-2025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未解决的 gap：三个文献缺口。</w:t>
              <w:br/>
              <w:t>(1) 无算力→增长的直接实证 — 所有现有研究使用 AI 专利或暴露度。</w:t>
              <w:br/>
              <w:t>(2) 无跨国宏面渠道分解 — 自动化 vs 新任务的净效应未经检验。</w:t>
              <w:br/>
              <w:t>(3) 发展中经济体的 AI 增长效应被系统性忽略。</w:t>
              <w:br/>
              <w:br/>
              <w:t>来源: docs/literature_open_questions.md Literature Gaps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研究问题：AI 算力基础设施的扩张是否与国家经济增长相关联？若有关联，关联方向是正（新任务渠道主导）还是负（自动化替代主导）？关联模式在经济发展水平、产业结构和人力资本存量上有何异质性？</w:t>
              <w:br/>
              <w:br/>
              <w:t>注意：使用 "关联" 而非 "影响/促进/导致" — 保持因果语言纪律。</w:t>
              <w:br/>
              <w:br/>
              <w:t>来源: docs/research_starter_packet.md R1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设计与数据：2015-2023 年 185 国跨国面板。核心解释变量：log_total_rmax — TOP500 超算总算力（TFlop/s）的对数。被解释变量：growth_annual — PWT 11.0 log GDP per capita 年增长。识别策略：双向固定效应 + 国家聚类标准误。渠道代理：工业/GDP 占比（自动化暴露度）× 人力资本指数（新任务暴露度）。</w:t>
              <w:br/>
              <w:br/>
              <w:t>来源: docs/panel_summary.json; reports/did_diagnostics_report.html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主要结果边界：log_total_rmax 与 growth_annual 的关联方向为负（β = −0.062, SE = 0.033, p = 0.066）。此关联在跨模型设定和 placebo permutation (p = 0.001) 下稳健，但不声称因果。负向关联可能反映：(a) 自动化替代的净负效应，(b) 反向因果（增长→算力投资），或 (c) 短面板噪声。</w:t>
              <w:br/>
              <w:br/>
              <w:t>来源: reports/did_diagnostics_report.html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INT-P6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贡献地图：</w:t>
              <w:br/>
              <w:t>(1) 首次使用 TOP500 算力基础设施作为 AI 能力的跨国代理。</w:t>
              <w:br/>
              <w:t>(2) 首次尝试在跨国宏面上通过交互项探索自动化 vs 新任务渠道的异质性模式。</w:t>
              <w:br/>
              <w:t>(3) 对 185 国（包括发展中国家）的全球覆盖 — 超越仅 OECD 的现有文献。</w:t>
              <w:br/>
              <w:br/>
              <w:t>不声称：因果效应、精确渠道测量、对零算力国家的外部有效性。</w:t>
              <w:br/>
              <w:br/>
              <w:t>来源: docs/literature_open_questions.md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文献综述 (Literature Review)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开场钩子 + 定位：AI 宏观效应的量级争议。Acemoglu (2025) 的 0.53% TFP 估计与产业界预期的巨大反差。</w:t>
              <w:br/>
              <w:br/>
              <w:t>来源: Acemoglu (2025, Economic Policy); Brynjolfsson et al. (2017, NBER); Gonzales (2023)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争论 1: AI 是 GPT 还是普通自动化？支持 GPT 假说的证据 + Acemoglu 的保守估计 + Brynjolfsson 生产率悖论（长滞后可能）。</w:t>
              <w:br/>
              <w:br/>
              <w:t>来源: Acemoglu &amp; Restrepo (2018 AER, 2019 JEP); Damioli et al. (2021); rival_003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过渡：即使接受 GPT 假说，效应通过什么渠道实现？</w:t>
              <w:br/>
              <w:br/>
              <w:t>（2-3 句自然过渡）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争论 2: 自动化替代渠道。任务模型理论 + 法国企业机器人证据 + 宏观 gap。</w:t>
              <w:br/>
              <w:br/>
              <w:t>来源: Acemoglu &amp; Restrepo (2019 JEP, 2018 AER); Acemoglu et al. (2020 AEA P&amp;P); Restrepo (2024 NBER)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争论 2 续：新任务创造渠道。理论强度 vs 操作化困难。文献中无跨国宏面渠道分解。</w:t>
              <w:br/>
              <w:br/>
              <w:t>来源: Acemoglu &amp; Restrepo (2018 JHC); synth_003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争论 3: 谁受益？发达 vs 发展中异质性。中国/非 OECD 大算力国家的独特位置。</w:t>
              <w:br/>
              <w:br/>
              <w:t>来源: Gonzales (2023); Damioli et al. (2021); Georgieff &amp; Hyee (2022); synth_004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LR-P7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测量 gap: 专利 vs 算力。本研究是首次使用 TOP500 算力作为 AI 代理。</w:t>
              <w:br/>
              <w:br/>
              <w:t>来源: synth_005; scope_003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LR-P8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收束：总结三个文献 gap，引出研究问题。不列表式抛出假说。</w:t>
              <w:br/>
              <w:br/>
              <w:t>来源: docs/literature_open_questions.md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理论框架与研究假说 (Theory &amp; Hypotheses)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概念建构：AI 作为一种具有 GPT 特征的技术。任务模型框架（Acemoglu-Restrepo）。两条竞争性渠道。本文的扩展：操作化为算力、聚焦 GDP 增长、扩展至 185 国。</w:t>
              <w:br/>
              <w:br/>
              <w:t>来源: Acemoglu &amp; Restrepo (2018 AER, 2019 JEP)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H1 自动化替代渠道：算力→替代劳动→高工业占比国家负效应更大。可检验含义：log_rmax × industry_share 交互项为负。rival: SBTC。</w:t>
              <w:br/>
              <w:br/>
              <w:t>来源: synth_002; Acemoglu et al. (2020); Restrepo (2024); rival_001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H2 新任务创造渠道：算力→新任务→高 HCI 国家正效应更大。可检验含义：log_rmax × HCI 交互项为正。代理局限：HCI ≠ 新任务创造。（此段措辞需根据你是否将 H2 降级决定）</w:t>
              <w:br/>
              <w:br/>
              <w:t>来源: synth_003; Acemoglu &amp; Restrepo (2018 JHC); scope_002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竞争性解释：(1) 反向因果；(2) 遗漏制度质量；(3) AI 可能不是 GPT。本研究的回应策略与限制。</w:t>
              <w:br/>
              <w:br/>
              <w:t>来源: synth_006; rival_002; rival_003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范围条件：(1) 零算力国家不适用；(2) TOP500 ≠ AI 专用算力；(3) 工业代理在服务经济中受限；(4) 短面板无法检验长滞后效应。</w:t>
              <w:br/>
              <w:br/>
              <w:t>来源: scope_001, scope_002, scope_003; synth_007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理论贡献定位：扩展 Acemoglu-Restrepo 框架至跨国宏面 + 算力作为新测量 + 渠道异质性探索。三个 "不声称"。过渡至研究设计。</w:t>
              <w:br/>
              <w:br/>
              <w:t>来源: 全部 synthesis ids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实证策略 (Empirical Strategy)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数据来源：PWT 11.0（增长、人力资本、TFP）+ WDI（产业份额、贸易）+ Maddison（验证）+ TOP500（算力）。pipeline 全部可复现。merge key = iso3 + year。</w:t>
              <w:br/>
              <w:br/>
              <w:t>来源: scripts/build_panels.py; docs/data_inventory.md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样本：185 国 × 2015-2023。完整案例 120 国 × 1080 obs。算力：44 国有 TOP500 出现，141 国零算力。被解释变量：growth_annual（PWT）。控制变量全部 lag1。无 imputation。</w:t>
              <w:br/>
              <w:br/>
              <w:t>来源: docs/panel_summary.json; docs/variable_dictionary.csv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基准模型：growth_annual_it = β₁·log_total_rmax_i,t-1 + γ·X_i,t-1 + α_i + δ_t + ε_it。country FE + year FE。SE clustered at country level。不声称 ATET。</w:t>
              <w:br/>
              <w:br/>
              <w:t>来源: scripts/run_did_diagnostics.R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渠道异质性模型：加入 log_rmax × industry_share 和 log_rmax × HCI 交互项。声明 "异质性分析" 而非 "因果渠道检验"。</w:t>
              <w:br/>
              <w:br/>
              <w:t>来源: docs/research_starter_packet.md channel decomposition section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稳健性：(1) 排除 OECD；(2) 排除中国；(3) 5-year / 10-year growth；(4) PWT vs Maddison vs WDI 来源交叉验证；(5) |growth| &gt; 0.30 排除。</w:t>
              <w:br/>
              <w:br/>
              <w:t>来源: 项目规程 §3.2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EMP-P6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DID 诊断说明（已在 reports 中）：连续处理型 TWFE，非二元 DID。Placebo p=0.001。Pre-trend 证据弱（仅 4 期 pre）。</w:t>
              <w:br/>
              <w:br/>
              <w:t>来源: reports/did_diagnostics_report.html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结果 (Results)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描述性统计：outcome mean=0.0187, sd=0.0648。log_rmax 仅 937/11840 obs 非零（7.9%）。右偏分布，top 12 国主导。</w:t>
              <w:br/>
              <w:br/>
              <w:t>来源: docs/panel_summary.json; reports/did_diagnostics/compute_distribution.png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主回归结果：log_rmax β = −0.062 (SE=0.033, p=0.066)。此系数是 log points 对 growth_annual 的效应量级。−0.062 意味着 ±1 log point 算力差异关联 −0.062 pp 增长差异。对于从 0 到 log(1000)≈6.9 的算力跃升，增长差异约 −0.43 pp — 经济上不可忽略。</w:t>
              <w:br/>
              <w:br/>
              <w:t>来源: reports/did_diagnostics_report.html full controls column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模型稳定性：裸 FE β=−0.077 → +HC −0.077 → +Investment −0.079 → +TFP+Trade −0.062。加入控制变量后方向一致，量级稳定。</w:t>
              <w:br/>
              <w:br/>
              <w:t>来源: reports/did_diagnostics/coef_stability.png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Placebo: p=0.001 (2000 permutations)。拒绝 β=0 的随机置换零假说。强证据表明负关联非随机 artifact。</w:t>
              <w:br/>
              <w:br/>
              <w:t>来源: reports/did_diagnostics/placebo_continuous.png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贸易渠道：export share β=−12.82 (p&lt;0.01), import share β=−9.85 (p&lt;0.1)。出口高占比国家增长更慢 — 可能与 trade-GDP ratio 的倒 U 关系或 export-led growth 的 diminishing returns 有关。此处是否需要进一步分析（中介/调节）取决于研究设计。</w:t>
              <w:br/>
              <w:br/>
              <w:t>来源: reports/did_diagnostics_report.html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渠道异质性分析（若有结果）：汇报 log_rmax × industry_share 和 log_rmax × HCI 交互项的符号、量级、显著性。即使交互项不显著，汇报方向 (sign pattern) 并提供解释。</w:t>
              <w:br/>
              <w:br/>
              <w:t>来源: 待运行的回归输出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RES-P7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稳健性：排除 OECD / 排除中国 / 5yr-10yr growth / 来源交叉验证 / extreme growth 排除。各子样本的系数方向和显著性。</w:t>
              <w:br/>
              <w:br/>
              <w:t>来源: 待运行的稳健性输出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color w:val="000000"/>
        </w:rPr>
        <w:t>结论 (Conclusion)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Slot（AI 填充）</w:t>
            </w:r>
          </w:p>
        </w:tc>
        <w:tc>
          <w:tcPr>
            <w:tcW w:type="dxa" w:w="4819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作者手写正文 / Your Prose（你写）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CON-P1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重述核心发现：log_total_rmax 与 growth_annual 呈现稳健的负向条件关联（β=−0.062, p=0.066, placebo p=0.001）。这一发现与 "更大算力 → 更快增长" 的直觉相反。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CON-P2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解释讨论（非结果重述）：三种可能解释 — (a) 自动化替代的净负效应（短期内替代 &gt; 新任务补偿），(b) 反向因果（增长快的国家 "已建成" 算力储备，增长较慢的国家正在 "追赶性投资"），(c) 短面板噪声（Brynjolfsson 生产率悖论：GPT 效应可能需要数十年显现）。本研究无法区分这三种解释 — 这是未来研究的方向。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CON-P3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贡献总结：(1) 首次使用 TOP500 算力作为 AI 能力代理；(2) 初步提供跨国宏面渠道异质性模式识别；(3) 全球覆盖（185 国包括发展中国家）。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CON-P4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政策讨论的范围边界：不声称任何国家应减少算力投资。负关联并不意味算力 "有害" — 可能反映的是算力投资正在向发展较慢的国家扩散（extensive margin），或者是算力投资与增长的错配期。政策建议：如果有的话，应聚焦于 "算力投资需要配合人力资本和制度基础设施才能转化为增长红利" — 但这一声称需要在理论部分先行铺垫。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CON-P5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  <w:t>局限：(1) 识别：TWFE 关联性而非因果性；(2) 测量：TOP500 ≠ AI 专用算力；(3) 渠道代理粗糙（HCI ≠ 新任务创造）；(4) 面板太短（9 年）；(5) 零算力国家的外部有效性限制。</w:t>
            </w:r>
          </w:p>
        </w:tc>
        <w:tc>
          <w:tcPr>
            <w:tcW w:type="dxa" w:w="4819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CON-P6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未来方向：(1) 寻找外生冲击（submarine cables, cloud region launches）做 IV/DID；(2) 加入 QoG/VDem 制度控制；(3) 补充 AI 专利交叉验证；(4) 寻找更好的新任务代理（ICT 服务出口、技术创业率）；(5) 行业级 TFP 分解。</w:t>
            </w:r>
          </w:p>
        </w:tc>
        <w:tc>
          <w:tcPr>
            <w:tcW w:type="dxa" w:w="4819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附录：高频风险标注速查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风险类型</w:t>
            </w:r>
          </w:p>
        </w:tc>
        <w:tc>
          <w:tcPr>
            <w:tcW w:type="dxa" w:w="56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出现段落</w:t>
            </w:r>
          </w:p>
        </w:tc>
        <w:tc>
          <w:tcPr>
            <w:tcW w:type="dxa" w:w="3118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3118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缓解措施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causal_language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P2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全文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"导致/促进/影响" → 改为 "关联/与…相关"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不声称因果效应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overclaim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P2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INT, CON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"首次"声称未经→→验证? 确认无 TOP500 已发表文献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claim_ledger CL07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unsupported_mechanism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P1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TH-P3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HCI = 新任务创造? → 改为 "代理" + 局限声明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无 P1: 需删除或加证据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missing_citation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P2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LR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Gonzales/Damioli/Georgieff 论文全文未打开 → 引用前验证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至少 4 篇需 primary verification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wrong_estimand</w:t>
            </w:r>
          </w:p>
        </w:tc>
        <w:tc>
          <w:tcPr>
            <w:tcW w:type="dxa" w:w="567"/>
          </w:tcPr>
          <w:p>
            <w:r/>
            <w:r>
              <w:rPr>
                <w:rFonts w:ascii="Times New Roman" w:hAnsi="Times New Roman" w:eastAsia="宋体"/>
                <w:sz w:val="17"/>
              </w:rPr>
              <w:t>P2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EMP, RES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TWFE 系数 ≠ ATET → 措辞 "条件关联"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7"/>
              </w:rPr>
              <w:t>DID diagnostics report design caveat</w:t>
            </w:r>
          </w:p>
        </w:tc>
      </w:tr>
      <w:tr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scale_ambiguity</w:t>
            </w:r>
          </w:p>
        </w:tc>
        <w:tc>
          <w:tcPr>
            <w:tcW w:type="dxa" w:w="56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P3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RES-P2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log points 对 growth_annual 量级 → 明确报告单位和基准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0.43 pp 的 economic significance 表述</w:t>
            </w:r>
          </w:p>
        </w:tc>
      </w:tr>
    </w:tbl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