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C8878" w14:textId="77777777" w:rsidR="000137E0" w:rsidRDefault="000137E0" w:rsidP="005F4810">
      <w:pPr>
        <w:spacing w:line="560" w:lineRule="exact"/>
        <w:jc w:val="center"/>
        <w:rPr>
          <w:rFonts w:ascii="方正大标宋简体" w:eastAsia="方正大标宋简体" w:hAnsi="黑体" w:cs="Arial"/>
          <w:sz w:val="44"/>
          <w:szCs w:val="44"/>
        </w:rPr>
      </w:pPr>
    </w:p>
    <w:p w14:paraId="1E9862F5" w14:textId="77777777" w:rsidR="0064762E" w:rsidRPr="005F4810" w:rsidRDefault="006249BE" w:rsidP="005F4810">
      <w:pPr>
        <w:spacing w:line="560" w:lineRule="exact"/>
        <w:jc w:val="center"/>
        <w:rPr>
          <w:rFonts w:ascii="方正大标宋简体" w:eastAsia="方正大标宋简体" w:hAnsi="黑体" w:cs="Arial"/>
          <w:sz w:val="44"/>
          <w:szCs w:val="44"/>
        </w:rPr>
      </w:pPr>
      <w:r w:rsidRPr="005F4810">
        <w:rPr>
          <w:rFonts w:ascii="方正大标宋简体" w:eastAsia="方正大标宋简体" w:hAnsi="黑体" w:cs="Arial" w:hint="eastAsia"/>
          <w:sz w:val="44"/>
          <w:szCs w:val="44"/>
        </w:rPr>
        <w:t>北京证券交易所</w:t>
      </w:r>
      <w:r w:rsidR="0064762E" w:rsidRPr="005F4810">
        <w:rPr>
          <w:rFonts w:ascii="方正大标宋简体" w:eastAsia="方正大标宋简体" w:hAnsi="黑体" w:cs="Arial" w:hint="eastAsia"/>
          <w:sz w:val="44"/>
          <w:szCs w:val="44"/>
        </w:rPr>
        <w:t>上市公司</w:t>
      </w:r>
      <w:r w:rsidRPr="005F4810">
        <w:rPr>
          <w:rFonts w:ascii="方正大标宋简体" w:eastAsia="方正大标宋简体" w:hAnsi="黑体" w:cs="Arial" w:hint="eastAsia"/>
          <w:sz w:val="44"/>
          <w:szCs w:val="44"/>
        </w:rPr>
        <w:t>持续监管指引</w:t>
      </w:r>
    </w:p>
    <w:p w14:paraId="392C43F4" w14:textId="7237B1BE" w:rsidR="000137E0" w:rsidRPr="000137E0" w:rsidRDefault="006249BE" w:rsidP="000137E0">
      <w:pPr>
        <w:spacing w:line="560" w:lineRule="exact"/>
        <w:jc w:val="center"/>
        <w:rPr>
          <w:rFonts w:ascii="方正大标宋简体" w:eastAsia="方正大标宋简体" w:hAnsi="黑体" w:cs="Arial"/>
          <w:sz w:val="44"/>
          <w:szCs w:val="44"/>
        </w:rPr>
      </w:pPr>
      <w:r w:rsidRPr="005F4810">
        <w:rPr>
          <w:rFonts w:ascii="方正大标宋简体" w:eastAsia="方正大标宋简体" w:hAnsi="黑体" w:cs="Arial" w:hint="eastAsia"/>
          <w:sz w:val="44"/>
          <w:szCs w:val="44"/>
        </w:rPr>
        <w:t>第</w:t>
      </w:r>
      <w:r w:rsidR="00D74CE0" w:rsidRPr="005F4810">
        <w:rPr>
          <w:rFonts w:ascii="方正大标宋简体" w:eastAsia="方正大标宋简体" w:hAnsi="黑体" w:cs="Arial" w:hint="eastAsia"/>
          <w:sz w:val="44"/>
          <w:szCs w:val="44"/>
        </w:rPr>
        <w:t>2</w:t>
      </w:r>
      <w:r w:rsidR="00BC1B7A" w:rsidRPr="005F4810">
        <w:rPr>
          <w:rFonts w:ascii="方正大标宋简体" w:eastAsia="方正大标宋简体" w:hAnsi="黑体" w:cs="Arial" w:hint="eastAsia"/>
          <w:sz w:val="44"/>
          <w:szCs w:val="44"/>
        </w:rPr>
        <w:t>号</w:t>
      </w:r>
      <w:r w:rsidR="0051214D" w:rsidRPr="005F4810">
        <w:rPr>
          <w:rFonts w:ascii="方正大标宋简体" w:eastAsia="方正大标宋简体" w:hAnsi="黑体" w:cs="Arial" w:hint="eastAsia"/>
          <w:sz w:val="44"/>
          <w:szCs w:val="44"/>
        </w:rPr>
        <w:t>——</w:t>
      </w:r>
      <w:r w:rsidRPr="005F4810">
        <w:rPr>
          <w:rFonts w:ascii="方正大标宋简体" w:eastAsia="方正大标宋简体" w:hAnsi="黑体" w:cs="Arial" w:hint="eastAsia"/>
          <w:sz w:val="44"/>
          <w:szCs w:val="44"/>
        </w:rPr>
        <w:t>季度报告</w:t>
      </w:r>
    </w:p>
    <w:p w14:paraId="12BF8800" w14:textId="77777777" w:rsidR="009E68BF" w:rsidRPr="009E68BF" w:rsidRDefault="009E68BF" w:rsidP="00653923">
      <w:pPr>
        <w:spacing w:line="600" w:lineRule="atLeast"/>
      </w:pPr>
    </w:p>
    <w:p w14:paraId="4F514FD7" w14:textId="383F4E01" w:rsidR="00760E3C" w:rsidRPr="00352372" w:rsidRDefault="00B01702"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第一条</w:t>
      </w:r>
      <w:r w:rsidR="00AD5A09">
        <w:rPr>
          <w:rFonts w:ascii="Times New Roman" w:eastAsia="仿宋" w:hAnsi="Times New Roman" w:cs="Times New Roman" w:hint="eastAsia"/>
          <w:bCs/>
          <w:sz w:val="32"/>
          <w:szCs w:val="32"/>
        </w:rPr>
        <w:t xml:space="preserve"> </w:t>
      </w:r>
      <w:r w:rsidR="00197ED8">
        <w:rPr>
          <w:rFonts w:ascii="Times New Roman" w:eastAsia="仿宋" w:hAnsi="Times New Roman" w:cs="Times New Roman"/>
          <w:bCs/>
          <w:sz w:val="32"/>
          <w:szCs w:val="32"/>
        </w:rPr>
        <w:t xml:space="preserve"> </w:t>
      </w:r>
      <w:r w:rsidRPr="00352372">
        <w:rPr>
          <w:rFonts w:ascii="仿宋" w:eastAsia="仿宋" w:hAnsi="仿宋" w:cs="Courier New"/>
          <w:sz w:val="32"/>
          <w:szCs w:val="32"/>
        </w:rPr>
        <w:t>为</w:t>
      </w:r>
      <w:r w:rsidR="00780008">
        <w:rPr>
          <w:rFonts w:ascii="仿宋" w:eastAsia="仿宋" w:hAnsi="仿宋" w:cs="Courier New" w:hint="eastAsia"/>
          <w:sz w:val="32"/>
          <w:szCs w:val="32"/>
        </w:rPr>
        <w:t>了</w:t>
      </w:r>
      <w:r w:rsidRPr="00352372">
        <w:rPr>
          <w:rFonts w:ascii="仿宋" w:eastAsia="仿宋" w:hAnsi="仿宋" w:cs="Courier New"/>
          <w:sz w:val="32"/>
          <w:szCs w:val="32"/>
        </w:rPr>
        <w:t>规范</w:t>
      </w:r>
      <w:r w:rsidR="005C46C3" w:rsidRPr="00352372">
        <w:rPr>
          <w:rFonts w:ascii="仿宋" w:eastAsia="仿宋" w:hAnsi="仿宋" w:cs="Courier New" w:hint="eastAsia"/>
          <w:sz w:val="32"/>
          <w:szCs w:val="32"/>
        </w:rPr>
        <w:t>北京证券交易所</w:t>
      </w:r>
      <w:r w:rsidR="00537730" w:rsidRPr="00352372">
        <w:rPr>
          <w:rFonts w:ascii="仿宋" w:eastAsia="仿宋" w:hAnsi="仿宋" w:cs="Courier New" w:hint="eastAsia"/>
          <w:sz w:val="32"/>
          <w:szCs w:val="32"/>
        </w:rPr>
        <w:t>（以下简称</w:t>
      </w:r>
      <w:r w:rsidR="00534390">
        <w:rPr>
          <w:rFonts w:ascii="仿宋" w:eastAsia="仿宋" w:hAnsi="仿宋" w:cs="Courier New" w:hint="eastAsia"/>
          <w:sz w:val="32"/>
          <w:szCs w:val="32"/>
        </w:rPr>
        <w:t>本</w:t>
      </w:r>
      <w:r w:rsidR="00537730" w:rsidRPr="00352372">
        <w:rPr>
          <w:rFonts w:ascii="仿宋" w:eastAsia="仿宋" w:hAnsi="仿宋" w:cs="Courier New" w:hint="eastAsia"/>
          <w:sz w:val="32"/>
          <w:szCs w:val="32"/>
        </w:rPr>
        <w:t>所）</w:t>
      </w:r>
      <w:r w:rsidR="005C46C3" w:rsidRPr="00352372">
        <w:rPr>
          <w:rFonts w:ascii="仿宋" w:eastAsia="仿宋" w:hAnsi="仿宋" w:cs="Courier New" w:hint="eastAsia"/>
          <w:sz w:val="32"/>
          <w:szCs w:val="32"/>
        </w:rPr>
        <w:t>上市公司</w:t>
      </w:r>
      <w:r w:rsidRPr="00352372">
        <w:rPr>
          <w:rFonts w:ascii="仿宋" w:eastAsia="仿宋" w:hAnsi="仿宋" w:cs="Courier New"/>
          <w:sz w:val="32"/>
          <w:szCs w:val="32"/>
        </w:rPr>
        <w:t>季度报告的编制及信息披露行为，保护投资者合法权益，根据《</w:t>
      </w:r>
      <w:r w:rsidR="00F6467F" w:rsidRPr="00F6467F">
        <w:rPr>
          <w:rFonts w:ascii="仿宋" w:eastAsia="仿宋" w:hAnsi="仿宋" w:cs="Courier New" w:hint="eastAsia"/>
          <w:sz w:val="32"/>
          <w:szCs w:val="32"/>
        </w:rPr>
        <w:t>中华人民共和国</w:t>
      </w:r>
      <w:r w:rsidRPr="00352372">
        <w:rPr>
          <w:rFonts w:ascii="仿宋" w:eastAsia="仿宋" w:hAnsi="仿宋" w:cs="Courier New"/>
          <w:sz w:val="32"/>
          <w:szCs w:val="32"/>
        </w:rPr>
        <w:t>证券法》</w:t>
      </w:r>
      <w:r w:rsidR="00403035" w:rsidRPr="00352372">
        <w:rPr>
          <w:rFonts w:ascii="仿宋" w:eastAsia="仿宋" w:hAnsi="仿宋" w:cs="Courier New" w:hint="eastAsia"/>
          <w:sz w:val="32"/>
          <w:szCs w:val="32"/>
        </w:rPr>
        <w:t>《北京证券交易所股票上市规则</w:t>
      </w:r>
      <w:r w:rsidR="00403035" w:rsidRPr="00B92837">
        <w:rPr>
          <w:rFonts w:ascii="仿宋" w:eastAsia="仿宋" w:hAnsi="仿宋" w:cs="Courier New" w:hint="eastAsia"/>
          <w:sz w:val="32"/>
          <w:szCs w:val="32"/>
        </w:rPr>
        <w:t>（试行）</w:t>
      </w:r>
      <w:r w:rsidR="00403035" w:rsidRPr="00621970">
        <w:rPr>
          <w:rFonts w:ascii="仿宋" w:eastAsia="仿宋" w:hAnsi="仿宋" w:cs="Courier New" w:hint="eastAsia"/>
          <w:sz w:val="32"/>
          <w:szCs w:val="32"/>
        </w:rPr>
        <w:t>》</w:t>
      </w:r>
      <w:r w:rsidR="00D5587F">
        <w:rPr>
          <w:rFonts w:ascii="仿宋" w:eastAsia="仿宋" w:hAnsi="仿宋" w:cs="Courier New" w:hint="eastAsia"/>
          <w:sz w:val="32"/>
          <w:szCs w:val="32"/>
        </w:rPr>
        <w:t>（以下简称</w:t>
      </w:r>
      <w:r w:rsidR="00D5587F" w:rsidRPr="00D5587F">
        <w:rPr>
          <w:rFonts w:ascii="仿宋" w:eastAsia="仿宋" w:hAnsi="仿宋" w:cs="Courier New" w:hint="eastAsia"/>
          <w:sz w:val="32"/>
          <w:szCs w:val="32"/>
        </w:rPr>
        <w:t>《上市规则》</w:t>
      </w:r>
      <w:r w:rsidR="00D5587F">
        <w:rPr>
          <w:rFonts w:ascii="仿宋" w:eastAsia="仿宋" w:hAnsi="仿宋" w:cs="Courier New" w:hint="eastAsia"/>
          <w:sz w:val="32"/>
          <w:szCs w:val="32"/>
        </w:rPr>
        <w:t>）</w:t>
      </w:r>
      <w:r w:rsidRPr="00352372">
        <w:rPr>
          <w:rFonts w:ascii="仿宋" w:eastAsia="仿宋" w:hAnsi="仿宋" w:cs="Courier New"/>
          <w:sz w:val="32"/>
          <w:szCs w:val="32"/>
        </w:rPr>
        <w:t>等有关规定，制定本</w:t>
      </w:r>
      <w:r w:rsidR="0040469F" w:rsidRPr="00352372">
        <w:rPr>
          <w:rFonts w:ascii="仿宋" w:eastAsia="仿宋" w:hAnsi="仿宋" w:cs="Courier New" w:hint="eastAsia"/>
          <w:sz w:val="32"/>
          <w:szCs w:val="32"/>
        </w:rPr>
        <w:t>指引</w:t>
      </w:r>
      <w:r w:rsidRPr="00352372">
        <w:rPr>
          <w:rFonts w:ascii="仿宋" w:eastAsia="仿宋" w:hAnsi="仿宋" w:cs="Courier New"/>
          <w:sz w:val="32"/>
          <w:szCs w:val="32"/>
        </w:rPr>
        <w:t>。</w:t>
      </w:r>
    </w:p>
    <w:p w14:paraId="7D70CA43" w14:textId="75A60E69" w:rsidR="00760E3C" w:rsidRPr="00352372" w:rsidRDefault="00B01702"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第二条</w:t>
      </w:r>
      <w:r w:rsidR="00AD5A09">
        <w:rPr>
          <w:rFonts w:ascii="Times New Roman" w:eastAsia="仿宋" w:hAnsi="Times New Roman" w:cs="Times New Roman" w:hint="eastAsia"/>
          <w:bCs/>
          <w:sz w:val="32"/>
          <w:szCs w:val="32"/>
        </w:rPr>
        <w:t xml:space="preserve"> </w:t>
      </w:r>
      <w:r w:rsidR="00197ED8">
        <w:rPr>
          <w:rFonts w:ascii="Times New Roman" w:eastAsia="仿宋" w:hAnsi="Times New Roman" w:cs="Times New Roman"/>
          <w:bCs/>
          <w:sz w:val="32"/>
          <w:szCs w:val="32"/>
        </w:rPr>
        <w:t xml:space="preserve"> </w:t>
      </w:r>
      <w:r w:rsidR="00534390">
        <w:rPr>
          <w:rFonts w:ascii="仿宋" w:eastAsia="仿宋" w:hAnsi="仿宋" w:cs="Courier New" w:hint="eastAsia"/>
          <w:sz w:val="32"/>
          <w:szCs w:val="32"/>
        </w:rPr>
        <w:t>本</w:t>
      </w:r>
      <w:r w:rsidR="00B07D70" w:rsidRPr="00352372">
        <w:rPr>
          <w:rFonts w:ascii="仿宋" w:eastAsia="仿宋" w:hAnsi="仿宋" w:cs="Courier New" w:hint="eastAsia"/>
          <w:sz w:val="32"/>
          <w:szCs w:val="32"/>
        </w:rPr>
        <w:t>所上市</w:t>
      </w:r>
      <w:r w:rsidR="00B07D70" w:rsidRPr="00352372">
        <w:rPr>
          <w:rFonts w:ascii="仿宋" w:eastAsia="仿宋" w:hAnsi="仿宋" w:cs="Courier New"/>
          <w:sz w:val="32"/>
          <w:szCs w:val="32"/>
        </w:rPr>
        <w:t>公司</w:t>
      </w:r>
      <w:r w:rsidRPr="00352372">
        <w:rPr>
          <w:rFonts w:ascii="仿宋" w:eastAsia="仿宋" w:hAnsi="仿宋" w:cs="Courier New"/>
          <w:sz w:val="32"/>
          <w:szCs w:val="32"/>
        </w:rPr>
        <w:t>应当按照本</w:t>
      </w:r>
      <w:r w:rsidR="0040469F" w:rsidRPr="00352372">
        <w:rPr>
          <w:rFonts w:ascii="仿宋" w:eastAsia="仿宋" w:hAnsi="仿宋" w:cs="Courier New" w:hint="eastAsia"/>
          <w:sz w:val="32"/>
          <w:szCs w:val="32"/>
        </w:rPr>
        <w:t>指引</w:t>
      </w:r>
      <w:r w:rsidRPr="00352372">
        <w:rPr>
          <w:rFonts w:ascii="仿宋" w:eastAsia="仿宋" w:hAnsi="仿宋" w:cs="Courier New"/>
          <w:sz w:val="32"/>
          <w:szCs w:val="32"/>
        </w:rPr>
        <w:t>的要求编制和披露季度报告。</w:t>
      </w:r>
    </w:p>
    <w:p w14:paraId="6B0C6067" w14:textId="7E83D32B" w:rsidR="00760E3C" w:rsidRPr="00352372" w:rsidRDefault="00B01702"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第三条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本</w:t>
      </w:r>
      <w:r w:rsidR="00B07D70" w:rsidRPr="00352372">
        <w:rPr>
          <w:rFonts w:ascii="仿宋" w:eastAsia="仿宋" w:hAnsi="仿宋" w:cs="Courier New" w:hint="eastAsia"/>
          <w:sz w:val="32"/>
          <w:szCs w:val="32"/>
        </w:rPr>
        <w:t>指引</w:t>
      </w:r>
      <w:r w:rsidRPr="00352372">
        <w:rPr>
          <w:rFonts w:ascii="仿宋" w:eastAsia="仿宋" w:hAnsi="仿宋" w:cs="Courier New"/>
          <w:sz w:val="32"/>
          <w:szCs w:val="32"/>
        </w:rPr>
        <w:t>的规定是对公司季度报告信息披露的最低要求；凡是对投资者</w:t>
      </w:r>
      <w:proofErr w:type="gramStart"/>
      <w:r w:rsidRPr="00352372">
        <w:rPr>
          <w:rFonts w:ascii="仿宋" w:eastAsia="仿宋" w:hAnsi="仿宋" w:cs="Courier New"/>
          <w:sz w:val="32"/>
          <w:szCs w:val="32"/>
        </w:rPr>
        <w:t>作出</w:t>
      </w:r>
      <w:proofErr w:type="gramEnd"/>
      <w:r w:rsidRPr="00352372">
        <w:rPr>
          <w:rFonts w:ascii="仿宋" w:eastAsia="仿宋" w:hAnsi="仿宋" w:cs="Courier New"/>
          <w:sz w:val="32"/>
          <w:szCs w:val="32"/>
        </w:rPr>
        <w:t>投资决策有重大影响的信息，不论本</w:t>
      </w:r>
      <w:r w:rsidR="00B07D70" w:rsidRPr="00352372">
        <w:rPr>
          <w:rFonts w:ascii="仿宋" w:eastAsia="仿宋" w:hAnsi="仿宋" w:cs="Courier New"/>
          <w:sz w:val="32"/>
          <w:szCs w:val="32"/>
        </w:rPr>
        <w:t>指引</w:t>
      </w:r>
      <w:r w:rsidRPr="00352372">
        <w:rPr>
          <w:rFonts w:ascii="仿宋" w:eastAsia="仿宋" w:hAnsi="仿宋" w:cs="Courier New"/>
          <w:sz w:val="32"/>
          <w:szCs w:val="32"/>
        </w:rPr>
        <w:t>是否有明确规定，公司均应当披露。</w:t>
      </w:r>
    </w:p>
    <w:p w14:paraId="54DB3731" w14:textId="77777777" w:rsidR="00760E3C" w:rsidRPr="00352372" w:rsidRDefault="00B01702" w:rsidP="009E68BF">
      <w:pPr>
        <w:spacing w:line="600" w:lineRule="atLeast"/>
        <w:ind w:firstLineChars="200" w:firstLine="640"/>
        <w:rPr>
          <w:rFonts w:ascii="仿宋" w:eastAsia="仿宋" w:hAnsi="仿宋" w:cs="Courier New"/>
          <w:sz w:val="32"/>
          <w:szCs w:val="32"/>
        </w:rPr>
      </w:pPr>
      <w:r w:rsidRPr="00352372">
        <w:rPr>
          <w:rFonts w:ascii="仿宋" w:eastAsia="仿宋" w:hAnsi="仿宋" w:cs="Courier New"/>
          <w:sz w:val="32"/>
          <w:szCs w:val="32"/>
        </w:rPr>
        <w:t>鼓励公司结合自身特点，以简明易懂的方式披露对投资者特别是中小投资者决策有用的信息，但披露的信息应当保持持续性和一致性，不得选择性披露。</w:t>
      </w:r>
    </w:p>
    <w:p w14:paraId="78E142AA" w14:textId="224910BC" w:rsidR="00B01702" w:rsidRPr="00352372" w:rsidRDefault="00B01702"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第四条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公司季度报告中的财务</w:t>
      </w:r>
      <w:r w:rsidR="00D070FF" w:rsidRPr="00352372">
        <w:rPr>
          <w:rFonts w:ascii="仿宋" w:eastAsia="仿宋" w:hAnsi="仿宋" w:cs="Courier New"/>
          <w:sz w:val="32"/>
          <w:szCs w:val="32"/>
        </w:rPr>
        <w:t>会计报告</w:t>
      </w:r>
      <w:r w:rsidRPr="00352372">
        <w:rPr>
          <w:rFonts w:ascii="仿宋" w:eastAsia="仿宋" w:hAnsi="仿宋" w:cs="Courier New"/>
          <w:sz w:val="32"/>
          <w:szCs w:val="32"/>
        </w:rPr>
        <w:t>可以不经审计，但</w:t>
      </w:r>
      <w:r w:rsidR="00515F7B">
        <w:rPr>
          <w:rFonts w:ascii="Times New Roman" w:eastAsia="仿宋" w:hAnsi="Times New Roman" w:cs="Times New Roman"/>
          <w:sz w:val="32"/>
          <w:szCs w:val="32"/>
        </w:rPr>
        <w:t>中国证券监督管理委员会（以下简称中国证监会）</w:t>
      </w:r>
      <w:r w:rsidRPr="00352372">
        <w:rPr>
          <w:rFonts w:ascii="仿宋" w:eastAsia="仿宋" w:hAnsi="仿宋" w:cs="Courier New"/>
          <w:sz w:val="32"/>
          <w:szCs w:val="32"/>
        </w:rPr>
        <w:t>、</w:t>
      </w:r>
      <w:r w:rsidR="00C95D8F">
        <w:rPr>
          <w:rFonts w:ascii="仿宋" w:eastAsia="仿宋" w:hAnsi="仿宋" w:cs="Courier New" w:hint="eastAsia"/>
          <w:sz w:val="32"/>
          <w:szCs w:val="32"/>
        </w:rPr>
        <w:t>本</w:t>
      </w:r>
      <w:r w:rsidR="00537730" w:rsidRPr="00352372">
        <w:rPr>
          <w:rFonts w:ascii="仿宋" w:eastAsia="仿宋" w:hAnsi="仿宋" w:cs="Courier New" w:hint="eastAsia"/>
          <w:sz w:val="32"/>
          <w:szCs w:val="32"/>
        </w:rPr>
        <w:t>所</w:t>
      </w:r>
      <w:r w:rsidRPr="00352372">
        <w:rPr>
          <w:rFonts w:ascii="仿宋" w:eastAsia="仿宋" w:hAnsi="仿宋" w:cs="Courier New"/>
          <w:sz w:val="32"/>
          <w:szCs w:val="32"/>
        </w:rPr>
        <w:t>另有规定的除外。</w:t>
      </w:r>
    </w:p>
    <w:p w14:paraId="154DC73D" w14:textId="6813B65D" w:rsidR="009E68BF" w:rsidRPr="00352372" w:rsidRDefault="0079787D" w:rsidP="00C26533">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第五条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由于国家秘密、商业秘密等特殊原因导致本</w:t>
      </w:r>
      <w:r w:rsidR="00B07D70" w:rsidRPr="00352372">
        <w:rPr>
          <w:rFonts w:ascii="仿宋" w:eastAsia="仿宋" w:hAnsi="仿宋" w:cs="Courier New"/>
          <w:sz w:val="32"/>
          <w:szCs w:val="32"/>
        </w:rPr>
        <w:t>指引</w:t>
      </w:r>
      <w:r w:rsidRPr="00352372">
        <w:rPr>
          <w:rFonts w:ascii="仿宋" w:eastAsia="仿宋" w:hAnsi="仿宋" w:cs="Courier New"/>
          <w:sz w:val="32"/>
          <w:szCs w:val="32"/>
        </w:rPr>
        <w:t>规定的某些信息确实不便披露的，公司可以不予披露，但应当</w:t>
      </w:r>
      <w:r w:rsidRPr="00352372">
        <w:rPr>
          <w:rFonts w:ascii="仿宋" w:eastAsia="仿宋" w:hAnsi="仿宋" w:cs="Courier New"/>
          <w:sz w:val="32"/>
          <w:szCs w:val="32"/>
        </w:rPr>
        <w:lastRenderedPageBreak/>
        <w:t>在相关</w:t>
      </w:r>
      <w:r w:rsidR="00F07377">
        <w:rPr>
          <w:rFonts w:ascii="仿宋" w:eastAsia="仿宋" w:hAnsi="仿宋" w:cs="Courier New" w:hint="eastAsia"/>
          <w:sz w:val="32"/>
          <w:szCs w:val="32"/>
        </w:rPr>
        <w:t>部分</w:t>
      </w:r>
      <w:r w:rsidRPr="00352372">
        <w:rPr>
          <w:rFonts w:ascii="仿宋" w:eastAsia="仿宋" w:hAnsi="仿宋" w:cs="Courier New"/>
          <w:sz w:val="32"/>
          <w:szCs w:val="32"/>
        </w:rPr>
        <w:t>详细说明未按本</w:t>
      </w:r>
      <w:r w:rsidR="00B07D70" w:rsidRPr="00352372">
        <w:rPr>
          <w:rFonts w:ascii="仿宋" w:eastAsia="仿宋" w:hAnsi="仿宋" w:cs="Courier New"/>
          <w:sz w:val="32"/>
          <w:szCs w:val="32"/>
        </w:rPr>
        <w:t>指引</w:t>
      </w:r>
      <w:r w:rsidRPr="00352372">
        <w:rPr>
          <w:rFonts w:ascii="仿宋" w:eastAsia="仿宋" w:hAnsi="仿宋" w:cs="Courier New"/>
          <w:sz w:val="32"/>
          <w:szCs w:val="32"/>
        </w:rPr>
        <w:t>要求进行披露的原因。中国证监会、</w:t>
      </w:r>
      <w:r w:rsidR="00C95D8F">
        <w:rPr>
          <w:rFonts w:ascii="仿宋" w:eastAsia="仿宋" w:hAnsi="仿宋" w:cs="Courier New" w:hint="eastAsia"/>
          <w:sz w:val="32"/>
          <w:szCs w:val="32"/>
        </w:rPr>
        <w:t>本</w:t>
      </w:r>
      <w:r w:rsidR="00537730" w:rsidRPr="00352372">
        <w:rPr>
          <w:rFonts w:ascii="仿宋" w:eastAsia="仿宋" w:hAnsi="仿宋" w:cs="Courier New" w:hint="eastAsia"/>
          <w:sz w:val="32"/>
          <w:szCs w:val="32"/>
        </w:rPr>
        <w:t>所</w:t>
      </w:r>
      <w:r w:rsidRPr="00352372">
        <w:rPr>
          <w:rFonts w:ascii="仿宋" w:eastAsia="仿宋" w:hAnsi="仿宋" w:cs="Courier New"/>
          <w:sz w:val="32"/>
          <w:szCs w:val="32"/>
        </w:rPr>
        <w:t>认为需要披露的，公司应当披露。</w:t>
      </w:r>
      <w:r w:rsidR="00DF5E8A" w:rsidRPr="00352372">
        <w:rPr>
          <w:rFonts w:ascii="仿宋" w:eastAsia="仿宋" w:hAnsi="仿宋" w:cs="Courier New" w:hint="eastAsia"/>
          <w:sz w:val="32"/>
          <w:szCs w:val="32"/>
        </w:rPr>
        <w:t>公司在编制和披露季度报告时应当严格遵守国家有关保密的法律法规，不得泄露国家保密信息。</w:t>
      </w:r>
    </w:p>
    <w:p w14:paraId="4C59F2F2" w14:textId="57480538" w:rsidR="004C63B0" w:rsidRPr="00352372" w:rsidRDefault="0079787D"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第六条</w:t>
      </w:r>
      <w:r w:rsidR="00AD5A09">
        <w:rPr>
          <w:rFonts w:ascii="Times New Roman" w:eastAsia="仿宋" w:hAnsi="Times New Roman" w:cs="Times New Roman" w:hint="eastAsia"/>
          <w:bCs/>
          <w:sz w:val="32"/>
          <w:szCs w:val="32"/>
        </w:rPr>
        <w:t xml:space="preserve"> </w:t>
      </w:r>
      <w:r w:rsidR="00197ED8">
        <w:rPr>
          <w:rFonts w:ascii="Times New Roman" w:eastAsia="仿宋" w:hAnsi="Times New Roman" w:cs="Times New Roman"/>
          <w:bCs/>
          <w:sz w:val="32"/>
          <w:szCs w:val="32"/>
        </w:rPr>
        <w:t xml:space="preserve"> </w:t>
      </w:r>
      <w:r w:rsidR="00773643" w:rsidRPr="00352372">
        <w:rPr>
          <w:rFonts w:ascii="仿宋" w:eastAsia="仿宋" w:hAnsi="仿宋" w:cs="Courier New" w:hint="eastAsia"/>
          <w:sz w:val="32"/>
          <w:szCs w:val="32"/>
        </w:rPr>
        <w:t>公司</w:t>
      </w:r>
      <w:r w:rsidRPr="00352372">
        <w:rPr>
          <w:rFonts w:ascii="仿宋" w:eastAsia="仿宋" w:hAnsi="仿宋" w:cs="Courier New"/>
          <w:sz w:val="32"/>
          <w:szCs w:val="32"/>
        </w:rPr>
        <w:t>董事、监事、高级管理人员对季度报告内容无异议并能够保证其真实性、准确性、完整性的，公司应在季度报告文本扉页刊登如下重要提示：公司董事、监事、高级管理人员保证本报告所载资料不存在虚假记载、误导性陈述或者重大遗漏，并对其内容的真实性、准确性和完整性承担个别及连带责任。</w:t>
      </w:r>
    </w:p>
    <w:p w14:paraId="31C9F938" w14:textId="77777777" w:rsidR="004C63B0" w:rsidRPr="00352372" w:rsidRDefault="0079787D" w:rsidP="009E68BF">
      <w:pPr>
        <w:spacing w:line="600" w:lineRule="atLeast"/>
        <w:ind w:firstLineChars="200" w:firstLine="640"/>
        <w:rPr>
          <w:rFonts w:ascii="仿宋" w:eastAsia="仿宋" w:hAnsi="仿宋" w:cs="Courier New"/>
          <w:sz w:val="32"/>
          <w:szCs w:val="32"/>
        </w:rPr>
      </w:pPr>
      <w:r w:rsidRPr="00352372">
        <w:rPr>
          <w:rFonts w:ascii="仿宋" w:eastAsia="仿宋" w:hAnsi="仿宋" w:cs="Courier New"/>
          <w:sz w:val="32"/>
          <w:szCs w:val="32"/>
        </w:rPr>
        <w:t>公司负责人、主管会计工作负责人及会计机构负责人（会计主管人员）应当声明并保证季度报告中财务会计报告的真实、准确、完整。</w:t>
      </w:r>
    </w:p>
    <w:p w14:paraId="2C6AA1E0" w14:textId="1D946239" w:rsidR="004C63B0" w:rsidRPr="00352372" w:rsidRDefault="0079787D" w:rsidP="009E68BF">
      <w:pPr>
        <w:spacing w:line="600" w:lineRule="atLeast"/>
        <w:ind w:firstLineChars="200" w:firstLine="640"/>
        <w:rPr>
          <w:rFonts w:ascii="仿宋" w:eastAsia="仿宋" w:hAnsi="仿宋" w:cs="Courier New"/>
          <w:sz w:val="32"/>
          <w:szCs w:val="32"/>
        </w:rPr>
      </w:pPr>
      <w:r w:rsidRPr="00352372">
        <w:rPr>
          <w:rFonts w:ascii="仿宋" w:eastAsia="仿宋" w:hAnsi="仿宋" w:cs="Courier New"/>
          <w:sz w:val="32"/>
          <w:szCs w:val="32"/>
        </w:rPr>
        <w:t>如有董事、监事、高级管理人员对季度报告内容存在异议或无法保证其真实、准确、完整的，应当声明</w:t>
      </w:r>
      <w:r w:rsidR="00E1285D" w:rsidRPr="00352372">
        <w:rPr>
          <w:rFonts w:ascii="仿宋" w:eastAsia="仿宋" w:hAnsi="仿宋" w:cs="Courier New"/>
          <w:sz w:val="32"/>
          <w:szCs w:val="32"/>
        </w:rPr>
        <w:t>××</w:t>
      </w:r>
      <w:r w:rsidRPr="003513E1">
        <w:rPr>
          <w:rFonts w:ascii="Times New Roman" w:eastAsia="仿宋" w:hAnsi="Times New Roman" w:cs="Times New Roman"/>
          <w:sz w:val="32"/>
          <w:szCs w:val="32"/>
        </w:rPr>
        <w:t>无</w:t>
      </w:r>
      <w:r w:rsidRPr="00352372">
        <w:rPr>
          <w:rFonts w:ascii="仿宋" w:eastAsia="仿宋" w:hAnsi="仿宋" w:cs="Courier New"/>
          <w:sz w:val="32"/>
          <w:szCs w:val="32"/>
        </w:rPr>
        <w:t>法保证本报告内容的真实、准确、完整，并说明理由，请投资者特别关注。同时，单独列示未出席董事会审议季度报告的董事姓名及原因。</w:t>
      </w:r>
    </w:p>
    <w:p w14:paraId="319373EC" w14:textId="0A4FEC50" w:rsidR="009E68BF" w:rsidRPr="00352372" w:rsidRDefault="0079787D" w:rsidP="00C26533">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第七条</w:t>
      </w:r>
      <w:r w:rsidR="00AD5A09">
        <w:rPr>
          <w:rFonts w:ascii="Times New Roman" w:eastAsia="仿宋" w:hAnsi="Times New Roman" w:cs="Times New Roman" w:hint="eastAsia"/>
          <w:bCs/>
          <w:sz w:val="32"/>
          <w:szCs w:val="32"/>
        </w:rPr>
        <w:t xml:space="preserve"> </w:t>
      </w:r>
      <w:r w:rsidR="00197ED8">
        <w:rPr>
          <w:rFonts w:ascii="Times New Roman" w:eastAsia="仿宋" w:hAnsi="Times New Roman" w:cs="Times New Roman"/>
          <w:bCs/>
          <w:sz w:val="32"/>
          <w:szCs w:val="32"/>
        </w:rPr>
        <w:t xml:space="preserve"> </w:t>
      </w:r>
      <w:r w:rsidRPr="00352372">
        <w:rPr>
          <w:rFonts w:ascii="仿宋" w:eastAsia="仿宋" w:hAnsi="仿宋" w:cs="Courier New"/>
          <w:sz w:val="32"/>
          <w:szCs w:val="32"/>
        </w:rPr>
        <w:t>如季度报告中的财务会计报告已经审计并被出具非标准审计报告，重要提示中应当声明××会计师事务所为本公司出具了非无保留意见（保留意见、否定意见、无法表示意见），或带有解释性说明的无保留意见（带有强调事项段、持续</w:t>
      </w:r>
      <w:r w:rsidRPr="00352372">
        <w:rPr>
          <w:rFonts w:ascii="仿宋" w:eastAsia="仿宋" w:hAnsi="仿宋" w:cs="Courier New"/>
          <w:sz w:val="32"/>
          <w:szCs w:val="32"/>
        </w:rPr>
        <w:lastRenderedPageBreak/>
        <w:t>经营重大不确定性段落、其他信息段落中包含其他信息未</w:t>
      </w:r>
      <w:proofErr w:type="gramStart"/>
      <w:r w:rsidRPr="00352372">
        <w:rPr>
          <w:rFonts w:ascii="仿宋" w:eastAsia="仿宋" w:hAnsi="仿宋" w:cs="Courier New"/>
          <w:sz w:val="32"/>
          <w:szCs w:val="32"/>
        </w:rPr>
        <w:t>更正重大错报说明</w:t>
      </w:r>
      <w:proofErr w:type="gramEnd"/>
      <w:r w:rsidRPr="00352372">
        <w:rPr>
          <w:rFonts w:ascii="仿宋" w:eastAsia="仿宋" w:hAnsi="仿宋" w:cs="Courier New"/>
          <w:sz w:val="32"/>
          <w:szCs w:val="32"/>
        </w:rPr>
        <w:t>的无保留意见）的审计报告，本公司董事会、监事会对相关事项已有详细说明，请投资者注意阅读。</w:t>
      </w:r>
    </w:p>
    <w:p w14:paraId="7A2014AD" w14:textId="372981D2" w:rsidR="00FF366B" w:rsidRPr="00352372" w:rsidRDefault="0079787D"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第八条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公司应采用数据列表方式，提供截至报告期末和上年期末（或年初</w:t>
      </w:r>
      <w:proofErr w:type="gramStart"/>
      <w:r w:rsidRPr="00352372">
        <w:rPr>
          <w:rFonts w:ascii="仿宋" w:eastAsia="仿宋" w:hAnsi="仿宋" w:cs="Courier New"/>
          <w:sz w:val="32"/>
          <w:szCs w:val="32"/>
        </w:rPr>
        <w:t>至报告</w:t>
      </w:r>
      <w:proofErr w:type="gramEnd"/>
      <w:r w:rsidRPr="00352372">
        <w:rPr>
          <w:rFonts w:ascii="仿宋" w:eastAsia="仿宋" w:hAnsi="仿宋" w:cs="Courier New"/>
          <w:sz w:val="32"/>
          <w:szCs w:val="32"/>
        </w:rPr>
        <w:t>期末和上年同期）的主要会计数据和财务指标，包括但不限于：资产总计、归属于</w:t>
      </w:r>
      <w:r w:rsidR="00AB4D1D" w:rsidRPr="00352372">
        <w:rPr>
          <w:rFonts w:ascii="仿宋" w:eastAsia="仿宋" w:hAnsi="仿宋" w:cs="Courier New"/>
          <w:sz w:val="32"/>
          <w:szCs w:val="32"/>
        </w:rPr>
        <w:t>上市公司</w:t>
      </w:r>
      <w:r w:rsidRPr="00352372">
        <w:rPr>
          <w:rFonts w:ascii="仿宋" w:eastAsia="仿宋" w:hAnsi="仿宋" w:cs="Courier New"/>
          <w:sz w:val="32"/>
          <w:szCs w:val="32"/>
        </w:rPr>
        <w:t>股东的净资产、资产负债率、营业收入、归属于</w:t>
      </w:r>
      <w:r w:rsidR="00AB4D1D" w:rsidRPr="00352372">
        <w:rPr>
          <w:rFonts w:ascii="仿宋" w:eastAsia="仿宋" w:hAnsi="仿宋" w:cs="Courier New"/>
          <w:sz w:val="32"/>
          <w:szCs w:val="32"/>
        </w:rPr>
        <w:t>上市公司</w:t>
      </w:r>
      <w:r w:rsidRPr="00352372">
        <w:rPr>
          <w:rFonts w:ascii="仿宋" w:eastAsia="仿宋" w:hAnsi="仿宋" w:cs="Courier New"/>
          <w:sz w:val="32"/>
          <w:szCs w:val="32"/>
        </w:rPr>
        <w:t>股东的净利润、归属于</w:t>
      </w:r>
      <w:r w:rsidR="00AB4D1D" w:rsidRPr="00352372">
        <w:rPr>
          <w:rFonts w:ascii="仿宋" w:eastAsia="仿宋" w:hAnsi="仿宋" w:cs="Courier New"/>
          <w:sz w:val="32"/>
          <w:szCs w:val="32"/>
        </w:rPr>
        <w:t>上市公司</w:t>
      </w:r>
      <w:r w:rsidRPr="00352372">
        <w:rPr>
          <w:rFonts w:ascii="仿宋" w:eastAsia="仿宋" w:hAnsi="仿宋" w:cs="Courier New"/>
          <w:sz w:val="32"/>
          <w:szCs w:val="32"/>
        </w:rPr>
        <w:t>股东的扣除非经常性损益后的净利润、经营活动产生的现金流量净额、每股收益、净资产收益率。</w:t>
      </w:r>
    </w:p>
    <w:p w14:paraId="3BC62AD5" w14:textId="7A2A6418" w:rsidR="0079787D" w:rsidRPr="00352372" w:rsidRDefault="0079787D" w:rsidP="009E68BF">
      <w:pPr>
        <w:spacing w:line="600" w:lineRule="atLeast"/>
        <w:ind w:firstLineChars="200" w:firstLine="640"/>
        <w:rPr>
          <w:rFonts w:ascii="仿宋" w:eastAsia="仿宋" w:hAnsi="仿宋" w:cs="Courier New"/>
          <w:sz w:val="32"/>
          <w:szCs w:val="32"/>
        </w:rPr>
      </w:pPr>
      <w:r w:rsidRPr="00352372">
        <w:rPr>
          <w:rFonts w:ascii="仿宋" w:eastAsia="仿宋" w:hAnsi="仿宋" w:cs="Courier New"/>
          <w:sz w:val="32"/>
          <w:szCs w:val="32"/>
        </w:rPr>
        <w:t>公司在披露“归属于</w:t>
      </w:r>
      <w:r w:rsidR="00AB4D1D" w:rsidRPr="00352372">
        <w:rPr>
          <w:rFonts w:ascii="仿宋" w:eastAsia="仿宋" w:hAnsi="仿宋" w:cs="Courier New"/>
          <w:sz w:val="32"/>
          <w:szCs w:val="32"/>
        </w:rPr>
        <w:t>上市公司</w:t>
      </w:r>
      <w:r w:rsidRPr="00352372">
        <w:rPr>
          <w:rFonts w:ascii="仿宋" w:eastAsia="仿宋" w:hAnsi="仿宋" w:cs="Courier New"/>
          <w:sz w:val="32"/>
          <w:szCs w:val="32"/>
        </w:rPr>
        <w:t>股东的扣除非经常性损益后的净利润”时，应当同时说明报告期内非经常性损益的项目及金额。</w:t>
      </w:r>
    </w:p>
    <w:p w14:paraId="3C65FC21" w14:textId="4E662294" w:rsidR="00FF366B" w:rsidRPr="00352372" w:rsidRDefault="0079787D"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第九条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报告</w:t>
      </w:r>
      <w:proofErr w:type="gramStart"/>
      <w:r w:rsidRPr="00352372">
        <w:rPr>
          <w:rFonts w:ascii="仿宋" w:eastAsia="仿宋" w:hAnsi="仿宋" w:cs="Courier New"/>
          <w:sz w:val="32"/>
          <w:szCs w:val="32"/>
        </w:rPr>
        <w:t>期重要</w:t>
      </w:r>
      <w:proofErr w:type="gramEnd"/>
      <w:r w:rsidRPr="00352372">
        <w:rPr>
          <w:rFonts w:ascii="仿宋" w:eastAsia="仿宋" w:hAnsi="仿宋" w:cs="Courier New"/>
          <w:sz w:val="32"/>
          <w:szCs w:val="32"/>
        </w:rPr>
        <w:t>财务数据或指标</w:t>
      </w:r>
      <w:r w:rsidR="00D016D4">
        <w:rPr>
          <w:rFonts w:ascii="仿宋" w:eastAsia="仿宋" w:hAnsi="仿宋" w:cs="Courier New"/>
          <w:sz w:val="32"/>
          <w:szCs w:val="32"/>
        </w:rPr>
        <w:t>变动达到或超过</w:t>
      </w:r>
      <w:r w:rsidR="00D016D4" w:rsidRPr="00B2342E">
        <w:rPr>
          <w:rFonts w:ascii="Times New Roman" w:eastAsia="仿宋" w:hAnsi="Times New Roman" w:cs="Times New Roman"/>
          <w:sz w:val="32"/>
          <w:szCs w:val="32"/>
        </w:rPr>
        <w:t>30%</w:t>
      </w:r>
      <w:r w:rsidR="00D016D4">
        <w:rPr>
          <w:rFonts w:ascii="仿宋" w:eastAsia="仿宋" w:hAnsi="仿宋" w:cs="Courier New"/>
          <w:sz w:val="32"/>
          <w:szCs w:val="32"/>
        </w:rPr>
        <w:t>的</w:t>
      </w:r>
      <w:r w:rsidRPr="00352372">
        <w:rPr>
          <w:rFonts w:ascii="仿宋" w:eastAsia="仿宋" w:hAnsi="仿宋" w:cs="Courier New"/>
          <w:sz w:val="32"/>
          <w:szCs w:val="32"/>
        </w:rPr>
        <w:t>，应当说明情况及主要原因。</w:t>
      </w:r>
    </w:p>
    <w:p w14:paraId="2F865428" w14:textId="77777777" w:rsidR="00FF366B" w:rsidRPr="00352372" w:rsidRDefault="0079787D" w:rsidP="009E68BF">
      <w:pPr>
        <w:spacing w:line="600" w:lineRule="atLeast"/>
        <w:ind w:firstLineChars="200" w:firstLine="640"/>
        <w:rPr>
          <w:rFonts w:ascii="仿宋" w:eastAsia="仿宋" w:hAnsi="仿宋" w:cs="Courier New"/>
          <w:sz w:val="32"/>
          <w:szCs w:val="32"/>
        </w:rPr>
      </w:pPr>
      <w:r w:rsidRPr="00352372">
        <w:rPr>
          <w:rFonts w:ascii="仿宋" w:eastAsia="仿宋" w:hAnsi="仿宋" w:cs="Courier New"/>
          <w:sz w:val="32"/>
          <w:szCs w:val="32"/>
        </w:rPr>
        <w:t>因会计政策变更及会计差错更正等追溯调整或重述以前年度会计数据的，应当同时披露调整前后的数据。</w:t>
      </w:r>
    </w:p>
    <w:p w14:paraId="4F575806" w14:textId="3F495C49" w:rsidR="00FF366B" w:rsidRPr="00C8469D" w:rsidRDefault="0079787D" w:rsidP="009E68BF">
      <w:pPr>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第十条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C8469D">
        <w:rPr>
          <w:rFonts w:ascii="仿宋" w:eastAsia="仿宋" w:hAnsi="仿宋" w:cs="Courier New"/>
          <w:sz w:val="32"/>
          <w:szCs w:val="32"/>
        </w:rPr>
        <w:t>公司应当披露本报告期期初、期末的普通股股本结构及截至报告期末的</w:t>
      </w:r>
      <w:r w:rsidR="00C8469D">
        <w:rPr>
          <w:rFonts w:ascii="仿宋" w:eastAsia="仿宋" w:hAnsi="仿宋" w:cs="Courier New"/>
          <w:sz w:val="32"/>
          <w:szCs w:val="32"/>
        </w:rPr>
        <w:t>持有本</w:t>
      </w:r>
      <w:r w:rsidR="00C8469D" w:rsidRPr="003513E1">
        <w:rPr>
          <w:rFonts w:ascii="Times New Roman" w:eastAsia="仿宋" w:hAnsi="Times New Roman" w:cs="Times New Roman"/>
          <w:sz w:val="32"/>
          <w:szCs w:val="32"/>
        </w:rPr>
        <w:t>公司</w:t>
      </w:r>
      <w:r w:rsidR="00C8469D" w:rsidRPr="003513E1">
        <w:rPr>
          <w:rFonts w:ascii="Times New Roman" w:eastAsia="仿宋" w:hAnsi="Times New Roman" w:cs="Times New Roman"/>
          <w:sz w:val="32"/>
          <w:szCs w:val="32"/>
        </w:rPr>
        <w:t>5%</w:t>
      </w:r>
      <w:r w:rsidR="00C8469D" w:rsidRPr="003513E1">
        <w:rPr>
          <w:rFonts w:ascii="Times New Roman" w:eastAsia="仿宋" w:hAnsi="Times New Roman" w:cs="Times New Roman"/>
          <w:sz w:val="32"/>
          <w:szCs w:val="32"/>
        </w:rPr>
        <w:t>以上股份股东的持股情况，</w:t>
      </w:r>
      <w:r w:rsidRPr="003513E1">
        <w:rPr>
          <w:rFonts w:ascii="Times New Roman" w:eastAsia="仿宋" w:hAnsi="Times New Roman" w:cs="Times New Roman"/>
          <w:sz w:val="32"/>
          <w:szCs w:val="32"/>
        </w:rPr>
        <w:t>并对</w:t>
      </w:r>
      <w:r w:rsidR="00C8469D" w:rsidRPr="003513E1">
        <w:rPr>
          <w:rFonts w:ascii="Times New Roman" w:eastAsia="仿宋" w:hAnsi="Times New Roman" w:cs="Times New Roman"/>
          <w:sz w:val="32"/>
          <w:szCs w:val="32"/>
        </w:rPr>
        <w:t>持股</w:t>
      </w:r>
      <w:r w:rsidR="00C8469D" w:rsidRPr="003513E1">
        <w:rPr>
          <w:rFonts w:ascii="Times New Roman" w:eastAsia="仿宋" w:hAnsi="Times New Roman" w:cs="Times New Roman"/>
          <w:sz w:val="32"/>
          <w:szCs w:val="32"/>
        </w:rPr>
        <w:t>5%</w:t>
      </w:r>
      <w:r w:rsidR="00C8469D" w:rsidRPr="003513E1">
        <w:rPr>
          <w:rFonts w:ascii="Times New Roman" w:eastAsia="仿宋" w:hAnsi="Times New Roman" w:cs="Times New Roman"/>
          <w:sz w:val="32"/>
          <w:szCs w:val="32"/>
        </w:rPr>
        <w:t>以上的</w:t>
      </w:r>
      <w:r w:rsidRPr="003513E1">
        <w:rPr>
          <w:rFonts w:ascii="Times New Roman" w:eastAsia="仿宋" w:hAnsi="Times New Roman" w:cs="Times New Roman"/>
          <w:sz w:val="32"/>
          <w:szCs w:val="32"/>
        </w:rPr>
        <w:t>股东相互间关系及持股变动情况进行说明。</w:t>
      </w:r>
      <w:r w:rsidR="00C8469D" w:rsidRPr="003513E1">
        <w:rPr>
          <w:rFonts w:ascii="Times New Roman" w:eastAsia="仿宋" w:hAnsi="Times New Roman" w:cs="Times New Roman"/>
          <w:sz w:val="32"/>
          <w:szCs w:val="32"/>
        </w:rPr>
        <w:t>如持股</w:t>
      </w:r>
      <w:r w:rsidR="00C8469D" w:rsidRPr="003513E1">
        <w:rPr>
          <w:rFonts w:ascii="Times New Roman" w:eastAsia="仿宋" w:hAnsi="Times New Roman" w:cs="Times New Roman"/>
          <w:sz w:val="32"/>
          <w:szCs w:val="32"/>
        </w:rPr>
        <w:t>5%</w:t>
      </w:r>
      <w:r w:rsidR="00C8469D" w:rsidRPr="003513E1">
        <w:rPr>
          <w:rFonts w:ascii="Times New Roman" w:eastAsia="仿宋" w:hAnsi="Times New Roman" w:cs="Times New Roman"/>
          <w:sz w:val="32"/>
          <w:szCs w:val="32"/>
        </w:rPr>
        <w:t>以上的股东</w:t>
      </w:r>
      <w:proofErr w:type="gramStart"/>
      <w:r w:rsidR="00C8469D" w:rsidRPr="003513E1">
        <w:rPr>
          <w:rFonts w:ascii="Times New Roman" w:eastAsia="仿宋" w:hAnsi="Times New Roman" w:cs="Times New Roman"/>
          <w:sz w:val="32"/>
          <w:szCs w:val="32"/>
        </w:rPr>
        <w:t>少于</w:t>
      </w:r>
      <w:r w:rsidR="009D2840" w:rsidRPr="003513E1">
        <w:rPr>
          <w:rFonts w:ascii="Times New Roman" w:eastAsia="仿宋" w:hAnsi="Times New Roman" w:cs="Times New Roman"/>
          <w:sz w:val="32"/>
          <w:szCs w:val="32"/>
        </w:rPr>
        <w:t>十</w:t>
      </w:r>
      <w:proofErr w:type="gramEnd"/>
      <w:r w:rsidR="00C8469D" w:rsidRPr="003513E1">
        <w:rPr>
          <w:rFonts w:ascii="Times New Roman" w:eastAsia="仿宋" w:hAnsi="Times New Roman" w:cs="Times New Roman"/>
          <w:sz w:val="32"/>
          <w:szCs w:val="32"/>
        </w:rPr>
        <w:t>人，则应当列出至少前十名股</w:t>
      </w:r>
      <w:r w:rsidR="00C8469D">
        <w:rPr>
          <w:rFonts w:ascii="仿宋" w:eastAsia="仿宋" w:hAnsi="仿宋" w:cs="Courier New"/>
          <w:sz w:val="32"/>
          <w:szCs w:val="32"/>
        </w:rPr>
        <w:t>东的持股情况。</w:t>
      </w:r>
      <w:r w:rsidRPr="00C8469D">
        <w:rPr>
          <w:rFonts w:ascii="仿宋" w:eastAsia="仿宋" w:hAnsi="仿宋" w:cs="Courier New"/>
          <w:sz w:val="32"/>
          <w:szCs w:val="32"/>
        </w:rPr>
        <w:t>如所持股份中包括无限</w:t>
      </w:r>
      <w:proofErr w:type="gramStart"/>
      <w:r w:rsidRPr="00C8469D">
        <w:rPr>
          <w:rFonts w:ascii="仿宋" w:eastAsia="仿宋" w:hAnsi="仿宋" w:cs="Courier New"/>
          <w:sz w:val="32"/>
          <w:szCs w:val="32"/>
        </w:rPr>
        <w:t>售条件</w:t>
      </w:r>
      <w:proofErr w:type="gramEnd"/>
      <w:r w:rsidRPr="00C8469D">
        <w:rPr>
          <w:rFonts w:ascii="仿宋" w:eastAsia="仿宋" w:hAnsi="仿宋" w:cs="Courier New"/>
          <w:sz w:val="32"/>
          <w:szCs w:val="32"/>
        </w:rPr>
        <w:t>股份、有限</w:t>
      </w:r>
      <w:proofErr w:type="gramStart"/>
      <w:r w:rsidRPr="00C8469D">
        <w:rPr>
          <w:rFonts w:ascii="仿宋" w:eastAsia="仿宋" w:hAnsi="仿宋" w:cs="Courier New"/>
          <w:sz w:val="32"/>
          <w:szCs w:val="32"/>
        </w:rPr>
        <w:t>售条</w:t>
      </w:r>
      <w:r w:rsidRPr="00C8469D">
        <w:rPr>
          <w:rFonts w:ascii="仿宋" w:eastAsia="仿宋" w:hAnsi="仿宋" w:cs="Courier New"/>
          <w:sz w:val="32"/>
          <w:szCs w:val="32"/>
        </w:rPr>
        <w:lastRenderedPageBreak/>
        <w:t>件</w:t>
      </w:r>
      <w:proofErr w:type="gramEnd"/>
      <w:r w:rsidRPr="00C8469D">
        <w:rPr>
          <w:rFonts w:ascii="仿宋" w:eastAsia="仿宋" w:hAnsi="仿宋" w:cs="Courier New"/>
          <w:sz w:val="32"/>
          <w:szCs w:val="32"/>
        </w:rPr>
        <w:t>股份、质押或司法冻结股份，应当分别披露其数量。</w:t>
      </w:r>
    </w:p>
    <w:p w14:paraId="56270263" w14:textId="1AE3A6D1" w:rsidR="009E68BF" w:rsidRPr="00352372" w:rsidRDefault="0079787D" w:rsidP="00C26533">
      <w:pPr>
        <w:spacing w:line="600" w:lineRule="atLeast"/>
        <w:ind w:firstLineChars="200" w:firstLine="640"/>
        <w:rPr>
          <w:rFonts w:ascii="仿宋" w:eastAsia="仿宋" w:hAnsi="仿宋" w:cs="Courier New"/>
          <w:sz w:val="32"/>
          <w:szCs w:val="32"/>
        </w:rPr>
      </w:pPr>
      <w:r w:rsidRPr="00C8469D">
        <w:rPr>
          <w:rFonts w:ascii="仿宋" w:eastAsia="仿宋" w:hAnsi="仿宋" w:cs="Courier New"/>
          <w:sz w:val="32"/>
          <w:szCs w:val="32"/>
        </w:rPr>
        <w:t>如公司报告期内存在存续至本期的优先股，应当披露前十名优先股股东和表决权恢复的优先股股东的持股情况。</w:t>
      </w:r>
    </w:p>
    <w:p w14:paraId="7A0F15B1" w14:textId="7C663229" w:rsidR="005D02EA" w:rsidRPr="00352372" w:rsidRDefault="0079787D" w:rsidP="009E68BF">
      <w:pPr>
        <w:widowControl/>
        <w:spacing w:line="600" w:lineRule="atLeast"/>
        <w:ind w:firstLineChars="200" w:firstLine="640"/>
        <w:rPr>
          <w:rFonts w:ascii="仿宋" w:eastAsia="仿宋" w:hAnsi="仿宋" w:cs="Courier New"/>
          <w:kern w:val="0"/>
          <w:sz w:val="32"/>
          <w:szCs w:val="32"/>
        </w:rPr>
      </w:pPr>
      <w:r w:rsidRPr="00352372">
        <w:rPr>
          <w:rFonts w:ascii="黑体" w:eastAsia="黑体" w:hAnsi="黑体" w:cs="Courier New"/>
          <w:kern w:val="0"/>
          <w:sz w:val="32"/>
          <w:szCs w:val="32"/>
        </w:rPr>
        <w:t>第十一条</w:t>
      </w:r>
      <w:r w:rsidR="00AD5A09">
        <w:rPr>
          <w:rFonts w:ascii="仿宋" w:eastAsia="仿宋" w:hAnsi="仿宋" w:cs="Courier New" w:hint="eastAsia"/>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kern w:val="0"/>
          <w:sz w:val="32"/>
          <w:szCs w:val="32"/>
        </w:rPr>
        <w:t>报告期内发生的或以前期间发生但延续到报告期的重大事项，可能对投资者决策或者公司股票及其他证券品种交易价格产生较大影响的，公司应当披露该重大事项的进展情况，并说明其影响和解决方案。公司已在临时报告披露且后续实施无变化的，仅需披露该事项概述，并提供所披露的临时报告的相关查询索引。</w:t>
      </w:r>
    </w:p>
    <w:p w14:paraId="35129470" w14:textId="779F4055" w:rsidR="0079787D" w:rsidRPr="00352372" w:rsidRDefault="0079787D" w:rsidP="00C26533">
      <w:pPr>
        <w:widowControl/>
        <w:spacing w:line="600" w:lineRule="atLeast"/>
        <w:ind w:firstLineChars="200" w:firstLine="640"/>
        <w:rPr>
          <w:rFonts w:ascii="黑体" w:eastAsia="黑体" w:hAnsi="黑体" w:cs="Courier New"/>
          <w:sz w:val="32"/>
          <w:szCs w:val="32"/>
        </w:rPr>
      </w:pPr>
      <w:r w:rsidRPr="00352372">
        <w:rPr>
          <w:rFonts w:ascii="黑体" w:eastAsia="黑体" w:hAnsi="黑体" w:cs="Courier New"/>
          <w:sz w:val="32"/>
          <w:szCs w:val="32"/>
        </w:rPr>
        <w:t>第十</w:t>
      </w:r>
      <w:r w:rsidR="00066000" w:rsidRPr="00352372">
        <w:rPr>
          <w:rFonts w:ascii="黑体" w:eastAsia="黑体" w:hAnsi="黑体" w:cs="Courier New" w:hint="eastAsia"/>
          <w:sz w:val="32"/>
          <w:szCs w:val="32"/>
        </w:rPr>
        <w:t>二</w:t>
      </w:r>
      <w:r w:rsidRPr="00352372">
        <w:rPr>
          <w:rFonts w:ascii="黑体" w:eastAsia="黑体" w:hAnsi="黑体" w:cs="Courier New"/>
          <w:sz w:val="32"/>
          <w:szCs w:val="32"/>
        </w:rPr>
        <w:t>条</w:t>
      </w:r>
      <w:r w:rsidRPr="00352372">
        <w:rPr>
          <w:rFonts w:ascii="仿宋" w:eastAsia="仿宋" w:hAnsi="仿宋" w:cs="Courier New"/>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公司应当注明财务</w:t>
      </w:r>
      <w:r w:rsidR="004225C5" w:rsidRPr="00352372">
        <w:rPr>
          <w:rFonts w:ascii="仿宋" w:eastAsia="仿宋" w:hAnsi="仿宋" w:cs="Courier New"/>
          <w:sz w:val="32"/>
          <w:szCs w:val="32"/>
        </w:rPr>
        <w:t>会计报告</w:t>
      </w:r>
      <w:r w:rsidRPr="00352372">
        <w:rPr>
          <w:rFonts w:ascii="仿宋" w:eastAsia="仿宋" w:hAnsi="仿宋" w:cs="Courier New"/>
          <w:sz w:val="32"/>
          <w:szCs w:val="32"/>
        </w:rPr>
        <w:t>是否已经审计。已经审计的，公司应当披露审计意见类型；若被注册会计师出具非标准审计报告，公司还应当披露审计报告正文。</w:t>
      </w:r>
    </w:p>
    <w:p w14:paraId="10628EDC" w14:textId="221412DF" w:rsidR="009E68BF" w:rsidRPr="00B2342E" w:rsidRDefault="0079787D" w:rsidP="00C26533">
      <w:pPr>
        <w:widowControl/>
        <w:spacing w:line="600" w:lineRule="atLeast"/>
        <w:ind w:firstLineChars="200" w:firstLine="640"/>
        <w:rPr>
          <w:rFonts w:ascii="仿宋" w:eastAsia="仿宋" w:hAnsi="仿宋" w:cs="Courier New"/>
          <w:sz w:val="32"/>
          <w:szCs w:val="32"/>
        </w:rPr>
      </w:pPr>
      <w:r w:rsidRPr="00352372">
        <w:rPr>
          <w:rFonts w:ascii="黑体" w:eastAsia="黑体" w:hAnsi="黑体" w:cs="Courier New"/>
          <w:sz w:val="32"/>
          <w:szCs w:val="32"/>
        </w:rPr>
        <w:t>第十</w:t>
      </w:r>
      <w:r w:rsidR="00066000" w:rsidRPr="00352372">
        <w:rPr>
          <w:rFonts w:ascii="黑体" w:eastAsia="黑体" w:hAnsi="黑体" w:cs="Courier New" w:hint="eastAsia"/>
          <w:sz w:val="32"/>
          <w:szCs w:val="32"/>
        </w:rPr>
        <w:t>三</w:t>
      </w:r>
      <w:r w:rsidRPr="00352372">
        <w:rPr>
          <w:rFonts w:ascii="黑体" w:eastAsia="黑体" w:hAnsi="黑体" w:cs="Courier New"/>
          <w:sz w:val="32"/>
          <w:szCs w:val="32"/>
        </w:rPr>
        <w:t>条</w:t>
      </w:r>
      <w:r w:rsidRPr="00352372">
        <w:rPr>
          <w:rFonts w:ascii="仿宋" w:eastAsia="仿宋" w:hAnsi="仿宋" w:cs="Courier New"/>
          <w:sz w:val="32"/>
          <w:szCs w:val="32"/>
        </w:rPr>
        <w:t xml:space="preserve"> </w:t>
      </w:r>
      <w:r w:rsidR="00197ED8">
        <w:rPr>
          <w:rFonts w:ascii="仿宋" w:eastAsia="仿宋" w:hAnsi="仿宋" w:cs="Courier New"/>
          <w:sz w:val="32"/>
          <w:szCs w:val="32"/>
        </w:rPr>
        <w:t xml:space="preserve"> </w:t>
      </w:r>
      <w:r w:rsidRPr="00352372">
        <w:rPr>
          <w:rFonts w:ascii="仿宋" w:eastAsia="仿宋" w:hAnsi="仿宋" w:cs="Courier New"/>
          <w:sz w:val="32"/>
          <w:szCs w:val="32"/>
        </w:rPr>
        <w:t>公司应当在季度报告中披露比较式资产负债表、比较式利润表和比较式现金流量表</w:t>
      </w:r>
      <w:bookmarkStart w:id="0" w:name="_GoBack"/>
      <w:bookmarkEnd w:id="0"/>
      <w:r w:rsidRPr="00352372">
        <w:rPr>
          <w:rFonts w:ascii="仿宋" w:eastAsia="仿宋" w:hAnsi="仿宋" w:cs="Courier New"/>
          <w:sz w:val="32"/>
          <w:szCs w:val="32"/>
        </w:rPr>
        <w:t>。编制合并报表的公司，除提供合并财务报表外，还应当提供母公司财务报表</w:t>
      </w:r>
      <w:r w:rsidR="007454AD" w:rsidRPr="00B2342E">
        <w:rPr>
          <w:rFonts w:ascii="仿宋" w:eastAsia="仿宋" w:hAnsi="仿宋" w:cs="Courier New"/>
          <w:sz w:val="32"/>
          <w:szCs w:val="32"/>
        </w:rPr>
        <w:t>，但中国证监会另有规定的除外。</w:t>
      </w:r>
    </w:p>
    <w:p w14:paraId="6F02EA0E" w14:textId="03CC5FDD" w:rsidR="006809BB" w:rsidRPr="00352372" w:rsidRDefault="006809BB" w:rsidP="00114049">
      <w:pPr>
        <w:widowControl/>
        <w:spacing w:line="600" w:lineRule="atLeast"/>
        <w:ind w:firstLineChars="200" w:firstLine="640"/>
        <w:rPr>
          <w:rFonts w:ascii="Times New Roman" w:eastAsia="仿宋" w:hAnsi="Times New Roman" w:cs="Times New Roman"/>
          <w:color w:val="000000"/>
          <w:sz w:val="32"/>
          <w:szCs w:val="24"/>
          <w:lang w:val="zh-CN"/>
        </w:rPr>
      </w:pPr>
      <w:r w:rsidRPr="00352372">
        <w:rPr>
          <w:rFonts w:ascii="黑体" w:eastAsia="黑体" w:hAnsi="黑体" w:cs="Courier New"/>
          <w:sz w:val="32"/>
          <w:szCs w:val="32"/>
        </w:rPr>
        <w:t>第十</w:t>
      </w:r>
      <w:r w:rsidRPr="00352372">
        <w:rPr>
          <w:rFonts w:ascii="黑体" w:eastAsia="黑体" w:hAnsi="黑体" w:cs="Courier New" w:hint="eastAsia"/>
          <w:sz w:val="32"/>
          <w:szCs w:val="32"/>
        </w:rPr>
        <w:t>四</w:t>
      </w:r>
      <w:r w:rsidRPr="00352372">
        <w:rPr>
          <w:rFonts w:ascii="黑体" w:eastAsia="黑体" w:hAnsi="黑体" w:cs="Courier New"/>
          <w:sz w:val="32"/>
          <w:szCs w:val="32"/>
        </w:rPr>
        <w:t>条</w:t>
      </w:r>
      <w:r w:rsidR="00AD5A09">
        <w:rPr>
          <w:rFonts w:ascii="仿宋_GB2312" w:eastAsia="仿宋_GB2312" w:hAnsi="仿宋_GB2312" w:cs="仿宋_GB2312" w:hint="eastAsia"/>
          <w:sz w:val="32"/>
          <w:szCs w:val="32"/>
        </w:rPr>
        <w:t xml:space="preserve"> </w:t>
      </w:r>
      <w:r w:rsidR="00197ED8">
        <w:rPr>
          <w:rFonts w:ascii="仿宋_GB2312" w:eastAsia="仿宋_GB2312" w:hAnsi="仿宋_GB2312" w:cs="仿宋_GB2312"/>
          <w:sz w:val="32"/>
          <w:szCs w:val="32"/>
        </w:rPr>
        <w:t xml:space="preserve"> </w:t>
      </w:r>
      <w:r w:rsidRPr="00352372">
        <w:rPr>
          <w:rFonts w:ascii="Times New Roman" w:eastAsia="仿宋" w:hAnsi="Times New Roman" w:cs="Times New Roman" w:hint="eastAsia"/>
          <w:color w:val="000000"/>
          <w:sz w:val="32"/>
          <w:szCs w:val="24"/>
          <w:lang w:val="zh-CN"/>
        </w:rPr>
        <w:t>公司及相关主体在季度报告</w:t>
      </w:r>
      <w:r w:rsidR="00F87D8C">
        <w:rPr>
          <w:rFonts w:ascii="Times New Roman" w:eastAsia="仿宋" w:hAnsi="Times New Roman" w:cs="Times New Roman" w:hint="eastAsia"/>
          <w:color w:val="000000"/>
          <w:sz w:val="32"/>
          <w:szCs w:val="24"/>
          <w:lang w:val="zh-CN"/>
        </w:rPr>
        <w:t>披露</w:t>
      </w:r>
      <w:r w:rsidRPr="00352372">
        <w:rPr>
          <w:rFonts w:ascii="Times New Roman" w:eastAsia="仿宋" w:hAnsi="Times New Roman" w:cs="Times New Roman" w:hint="eastAsia"/>
          <w:color w:val="000000"/>
          <w:sz w:val="32"/>
          <w:szCs w:val="24"/>
          <w:lang w:val="zh-CN"/>
        </w:rPr>
        <w:t>中有违规行为的，本所依据《上市规则》等有关规定，对公司及相关责任主体采取工作措施、自律监管措施或纪律处分。</w:t>
      </w:r>
    </w:p>
    <w:p w14:paraId="6D40BAAA" w14:textId="52864ACB" w:rsidR="00D24079" w:rsidRPr="00352372" w:rsidRDefault="00D24079" w:rsidP="006809BB">
      <w:pPr>
        <w:widowControl/>
        <w:spacing w:line="600" w:lineRule="atLeast"/>
        <w:ind w:firstLineChars="200" w:firstLine="640"/>
        <w:jc w:val="left"/>
        <w:rPr>
          <w:rFonts w:ascii="仿宋" w:eastAsia="仿宋" w:hAnsi="仿宋" w:cs="宋体"/>
          <w:kern w:val="0"/>
          <w:sz w:val="32"/>
          <w:szCs w:val="32"/>
        </w:rPr>
      </w:pPr>
      <w:r w:rsidRPr="00352372">
        <w:rPr>
          <w:rFonts w:ascii="黑体" w:eastAsia="黑体" w:hAnsi="黑体" w:cs="Courier New"/>
          <w:sz w:val="32"/>
          <w:szCs w:val="32"/>
        </w:rPr>
        <w:t>第十</w:t>
      </w:r>
      <w:r w:rsidRPr="00352372">
        <w:rPr>
          <w:rFonts w:ascii="黑体" w:eastAsia="黑体" w:hAnsi="黑体" w:cs="Courier New" w:hint="eastAsia"/>
          <w:sz w:val="32"/>
          <w:szCs w:val="32"/>
        </w:rPr>
        <w:t>五</w:t>
      </w:r>
      <w:r w:rsidRPr="00352372">
        <w:rPr>
          <w:rFonts w:ascii="黑体" w:eastAsia="黑体" w:hAnsi="黑体" w:cs="Courier New"/>
          <w:sz w:val="32"/>
          <w:szCs w:val="32"/>
        </w:rPr>
        <w:t>条</w:t>
      </w:r>
      <w:r w:rsidR="00AD5A09">
        <w:rPr>
          <w:rFonts w:ascii="Times New Roman" w:eastAsia="仿宋" w:hAnsi="Times New Roman" w:cs="Times New Roman" w:hint="eastAsia"/>
          <w:sz w:val="32"/>
          <w:szCs w:val="32"/>
        </w:rPr>
        <w:t xml:space="preserve"> </w:t>
      </w:r>
      <w:r w:rsidR="00197ED8">
        <w:rPr>
          <w:rFonts w:ascii="Times New Roman" w:eastAsia="仿宋" w:hAnsi="Times New Roman" w:cs="Times New Roman"/>
          <w:sz w:val="32"/>
          <w:szCs w:val="32"/>
        </w:rPr>
        <w:t xml:space="preserve"> </w:t>
      </w:r>
      <w:r w:rsidRPr="00352372">
        <w:rPr>
          <w:rFonts w:ascii="Times New Roman" w:eastAsia="仿宋" w:hAnsi="Times New Roman" w:cs="Times New Roman" w:hint="eastAsia"/>
          <w:bCs/>
          <w:sz w:val="32"/>
          <w:szCs w:val="32"/>
        </w:rPr>
        <w:t>本指引由本所负责解释。</w:t>
      </w:r>
    </w:p>
    <w:p w14:paraId="2E76D043" w14:textId="62A0A7CC" w:rsidR="0079787D" w:rsidRPr="00197ED8" w:rsidRDefault="0079787D" w:rsidP="00197ED8">
      <w:pPr>
        <w:widowControl/>
        <w:spacing w:line="600" w:lineRule="atLeast"/>
        <w:ind w:firstLineChars="200" w:firstLine="640"/>
        <w:jc w:val="left"/>
        <w:rPr>
          <w:rFonts w:ascii="仿宋" w:eastAsia="仿宋" w:hAnsi="仿宋" w:cs="Courier New"/>
          <w:sz w:val="32"/>
          <w:szCs w:val="32"/>
        </w:rPr>
      </w:pPr>
      <w:r w:rsidRPr="00352372">
        <w:rPr>
          <w:rFonts w:ascii="黑体" w:eastAsia="黑体" w:hAnsi="黑体" w:cs="Courier New"/>
          <w:sz w:val="32"/>
          <w:szCs w:val="32"/>
        </w:rPr>
        <w:t>第十</w:t>
      </w:r>
      <w:r w:rsidR="00D24079" w:rsidRPr="00352372">
        <w:rPr>
          <w:rFonts w:ascii="黑体" w:eastAsia="黑体" w:hAnsi="黑体" w:cs="Courier New" w:hint="eastAsia"/>
          <w:sz w:val="32"/>
          <w:szCs w:val="32"/>
        </w:rPr>
        <w:t>六</w:t>
      </w:r>
      <w:r w:rsidRPr="00352372">
        <w:rPr>
          <w:rFonts w:ascii="黑体" w:eastAsia="黑体" w:hAnsi="黑体" w:cs="Courier New"/>
          <w:sz w:val="32"/>
          <w:szCs w:val="32"/>
        </w:rPr>
        <w:t>条</w:t>
      </w:r>
      <w:r w:rsidR="00AD5A09">
        <w:rPr>
          <w:rFonts w:ascii="Times New Roman" w:eastAsia="仿宋" w:hAnsi="Times New Roman" w:cs="Times New Roman" w:hint="eastAsia"/>
          <w:sz w:val="32"/>
          <w:szCs w:val="32"/>
        </w:rPr>
        <w:t xml:space="preserve"> </w:t>
      </w:r>
      <w:r w:rsidR="00197ED8">
        <w:rPr>
          <w:rFonts w:ascii="Times New Roman" w:eastAsia="仿宋" w:hAnsi="Times New Roman" w:cs="Times New Roman"/>
          <w:sz w:val="32"/>
          <w:szCs w:val="32"/>
        </w:rPr>
        <w:t xml:space="preserve"> </w:t>
      </w:r>
      <w:r w:rsidR="00651829">
        <w:rPr>
          <w:rFonts w:ascii="Times New Roman" w:eastAsia="仿宋" w:hAnsi="Times New Roman" w:cs="Times New Roman"/>
          <w:kern w:val="0"/>
          <w:sz w:val="32"/>
          <w:szCs w:val="32"/>
        </w:rPr>
        <w:t>本指引自</w:t>
      </w:r>
      <w:r w:rsidR="00651829">
        <w:rPr>
          <w:rFonts w:ascii="Times New Roman" w:eastAsia="仿宋" w:hAnsi="Times New Roman" w:cs="Times New Roman" w:hint="eastAsia"/>
          <w:sz w:val="32"/>
          <w:szCs w:val="32"/>
        </w:rPr>
        <w:t>2021</w:t>
      </w:r>
      <w:r w:rsidR="00651829">
        <w:rPr>
          <w:rFonts w:ascii="Times New Roman" w:eastAsia="仿宋" w:hAnsi="Times New Roman" w:cs="Times New Roman" w:hint="eastAsia"/>
          <w:sz w:val="32"/>
          <w:szCs w:val="32"/>
        </w:rPr>
        <w:t>年</w:t>
      </w:r>
      <w:r w:rsidR="005E50E0">
        <w:rPr>
          <w:rFonts w:ascii="Times New Roman" w:eastAsia="仿宋" w:hAnsi="Times New Roman" w:cs="Times New Roman"/>
          <w:sz w:val="32"/>
          <w:szCs w:val="32"/>
        </w:rPr>
        <w:t>11</w:t>
      </w:r>
      <w:r w:rsidR="00651829">
        <w:rPr>
          <w:rFonts w:ascii="Times New Roman" w:eastAsia="仿宋" w:hAnsi="Times New Roman" w:cs="Times New Roman"/>
          <w:sz w:val="32"/>
          <w:szCs w:val="32"/>
        </w:rPr>
        <w:t>月</w:t>
      </w:r>
      <w:r w:rsidR="005E50E0">
        <w:rPr>
          <w:rFonts w:ascii="Times New Roman" w:eastAsia="仿宋" w:hAnsi="Times New Roman" w:cs="Times New Roman"/>
          <w:sz w:val="32"/>
          <w:szCs w:val="32"/>
        </w:rPr>
        <w:t>15</w:t>
      </w:r>
      <w:r w:rsidR="00651829" w:rsidRPr="006012CB">
        <w:rPr>
          <w:rFonts w:ascii="Times New Roman" w:eastAsia="仿宋" w:hAnsi="Times New Roman" w:cs="Times New Roman"/>
          <w:sz w:val="32"/>
          <w:szCs w:val="32"/>
        </w:rPr>
        <w:t>日起施行</w:t>
      </w:r>
      <w:r w:rsidR="00651829">
        <w:rPr>
          <w:rFonts w:ascii="Times New Roman" w:eastAsia="仿宋" w:hAnsi="Times New Roman" w:cs="Times New Roman" w:hint="eastAsia"/>
          <w:kern w:val="0"/>
          <w:sz w:val="32"/>
          <w:szCs w:val="32"/>
        </w:rPr>
        <w:t>。</w:t>
      </w:r>
    </w:p>
    <w:sectPr w:rsidR="0079787D" w:rsidRPr="00197ED8" w:rsidSect="00197ED8">
      <w:footerReference w:type="even" r:id="rId7"/>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8949C" w14:textId="77777777" w:rsidR="00040E5C" w:rsidRDefault="00040E5C" w:rsidP="00F61FE5">
      <w:r>
        <w:separator/>
      </w:r>
    </w:p>
  </w:endnote>
  <w:endnote w:type="continuationSeparator" w:id="0">
    <w:p w14:paraId="4CA5E4C5" w14:textId="77777777" w:rsidR="00040E5C" w:rsidRDefault="00040E5C" w:rsidP="00F6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63055"/>
      <w:docPartObj>
        <w:docPartGallery w:val="Page Numbers (Bottom of Page)"/>
        <w:docPartUnique/>
      </w:docPartObj>
    </w:sdtPr>
    <w:sdtEndPr>
      <w:rPr>
        <w:rFonts w:asciiTheme="minorEastAsia" w:hAnsiTheme="minorEastAsia"/>
        <w:sz w:val="28"/>
      </w:rPr>
    </w:sdtEndPr>
    <w:sdtContent>
      <w:p w14:paraId="5B161502" w14:textId="626454D1" w:rsidR="004E5D5E" w:rsidRPr="004E5D5E" w:rsidRDefault="004E5D5E">
        <w:pPr>
          <w:pStyle w:val="a6"/>
          <w:rPr>
            <w:rFonts w:asciiTheme="minorEastAsia" w:hAnsiTheme="minorEastAsia"/>
            <w:sz w:val="28"/>
          </w:rPr>
        </w:pPr>
        <w:r w:rsidRPr="004E5D5E">
          <w:rPr>
            <w:rFonts w:asciiTheme="minorEastAsia" w:hAnsiTheme="minorEastAsia"/>
            <w:sz w:val="28"/>
          </w:rPr>
          <w:fldChar w:fldCharType="begin"/>
        </w:r>
        <w:r w:rsidRPr="004E5D5E">
          <w:rPr>
            <w:rFonts w:asciiTheme="minorEastAsia" w:hAnsiTheme="minorEastAsia"/>
            <w:sz w:val="28"/>
          </w:rPr>
          <w:instrText>PAGE   \* MERGEFORMAT</w:instrText>
        </w:r>
        <w:r w:rsidRPr="004E5D5E">
          <w:rPr>
            <w:rFonts w:asciiTheme="minorEastAsia" w:hAnsiTheme="minorEastAsia"/>
            <w:sz w:val="28"/>
          </w:rPr>
          <w:fldChar w:fldCharType="separate"/>
        </w:r>
        <w:r w:rsidR="00B2342E" w:rsidRPr="00B2342E">
          <w:rPr>
            <w:rFonts w:asciiTheme="minorEastAsia" w:hAnsiTheme="minorEastAsia"/>
            <w:noProof/>
            <w:sz w:val="28"/>
            <w:lang w:val="zh-CN"/>
          </w:rPr>
          <w:t>-</w:t>
        </w:r>
        <w:r w:rsidR="00B2342E">
          <w:rPr>
            <w:rFonts w:asciiTheme="minorEastAsia" w:hAnsiTheme="minorEastAsia"/>
            <w:noProof/>
            <w:sz w:val="28"/>
          </w:rPr>
          <w:t xml:space="preserve"> 2 -</w:t>
        </w:r>
        <w:r w:rsidRPr="004E5D5E">
          <w:rPr>
            <w:rFonts w:asciiTheme="minorEastAsia" w:hAnsiTheme="minorEastAsia"/>
            <w:sz w:val="28"/>
          </w:rPr>
          <w:fldChar w:fldCharType="end"/>
        </w:r>
      </w:p>
    </w:sdtContent>
  </w:sdt>
  <w:p w14:paraId="2879AA71" w14:textId="77777777" w:rsidR="004E5D5E" w:rsidRDefault="004E5D5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848087"/>
      <w:docPartObj>
        <w:docPartGallery w:val="Page Numbers (Bottom of Page)"/>
        <w:docPartUnique/>
      </w:docPartObj>
    </w:sdtPr>
    <w:sdtEndPr>
      <w:rPr>
        <w:rFonts w:asciiTheme="minorEastAsia" w:hAnsiTheme="minorEastAsia"/>
        <w:sz w:val="28"/>
      </w:rPr>
    </w:sdtEndPr>
    <w:sdtContent>
      <w:p w14:paraId="6B542A44" w14:textId="208B4EC6" w:rsidR="004E5D5E" w:rsidRPr="004E5D5E" w:rsidRDefault="004E5D5E">
        <w:pPr>
          <w:pStyle w:val="a6"/>
          <w:jc w:val="right"/>
          <w:rPr>
            <w:rFonts w:asciiTheme="minorEastAsia" w:hAnsiTheme="minorEastAsia"/>
            <w:sz w:val="28"/>
          </w:rPr>
        </w:pPr>
        <w:r w:rsidRPr="004E5D5E">
          <w:rPr>
            <w:rFonts w:asciiTheme="minorEastAsia" w:hAnsiTheme="minorEastAsia"/>
            <w:sz w:val="28"/>
          </w:rPr>
          <w:fldChar w:fldCharType="begin"/>
        </w:r>
        <w:r w:rsidRPr="004E5D5E">
          <w:rPr>
            <w:rFonts w:asciiTheme="minorEastAsia" w:hAnsiTheme="minorEastAsia"/>
            <w:sz w:val="28"/>
          </w:rPr>
          <w:instrText>PAGE   \* MERGEFORMAT</w:instrText>
        </w:r>
        <w:r w:rsidRPr="004E5D5E">
          <w:rPr>
            <w:rFonts w:asciiTheme="minorEastAsia" w:hAnsiTheme="minorEastAsia"/>
            <w:sz w:val="28"/>
          </w:rPr>
          <w:fldChar w:fldCharType="separate"/>
        </w:r>
        <w:r w:rsidR="00B2342E" w:rsidRPr="00B2342E">
          <w:rPr>
            <w:rFonts w:asciiTheme="minorEastAsia" w:hAnsiTheme="minorEastAsia"/>
            <w:noProof/>
            <w:sz w:val="28"/>
            <w:lang w:val="zh-CN"/>
          </w:rPr>
          <w:t>-</w:t>
        </w:r>
        <w:r w:rsidR="00B2342E">
          <w:rPr>
            <w:rFonts w:asciiTheme="minorEastAsia" w:hAnsiTheme="minorEastAsia"/>
            <w:noProof/>
            <w:sz w:val="28"/>
          </w:rPr>
          <w:t xml:space="preserve"> 3 -</w:t>
        </w:r>
        <w:r w:rsidRPr="004E5D5E">
          <w:rPr>
            <w:rFonts w:asciiTheme="minorEastAsia" w:hAnsiTheme="minorEastAsia"/>
            <w:sz w:val="28"/>
          </w:rPr>
          <w:fldChar w:fldCharType="end"/>
        </w:r>
      </w:p>
    </w:sdtContent>
  </w:sdt>
  <w:p w14:paraId="50E9FC4D" w14:textId="77777777" w:rsidR="004E5D5E" w:rsidRDefault="004E5D5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D98F0" w14:textId="77777777" w:rsidR="00040E5C" w:rsidRDefault="00040E5C" w:rsidP="00F61FE5">
      <w:r>
        <w:separator/>
      </w:r>
    </w:p>
  </w:footnote>
  <w:footnote w:type="continuationSeparator" w:id="0">
    <w:p w14:paraId="7F117F68" w14:textId="77777777" w:rsidR="00040E5C" w:rsidRDefault="00040E5C" w:rsidP="00F61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32059"/>
    <w:multiLevelType w:val="hybridMultilevel"/>
    <w:tmpl w:val="4D28585C"/>
    <w:lvl w:ilvl="0" w:tplc="95509F50">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8D06C4"/>
    <w:multiLevelType w:val="hybridMultilevel"/>
    <w:tmpl w:val="98AC953A"/>
    <w:lvl w:ilvl="0" w:tplc="CA30316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02"/>
    <w:rsid w:val="000137E0"/>
    <w:rsid w:val="00021E20"/>
    <w:rsid w:val="00040E5C"/>
    <w:rsid w:val="000628E7"/>
    <w:rsid w:val="00066000"/>
    <w:rsid w:val="00092772"/>
    <w:rsid w:val="000B1F39"/>
    <w:rsid w:val="000B2C3D"/>
    <w:rsid w:val="000B6FD7"/>
    <w:rsid w:val="000E4D19"/>
    <w:rsid w:val="000F4995"/>
    <w:rsid w:val="000F776A"/>
    <w:rsid w:val="00100142"/>
    <w:rsid w:val="00112E92"/>
    <w:rsid w:val="00114049"/>
    <w:rsid w:val="00122CD1"/>
    <w:rsid w:val="00126F8B"/>
    <w:rsid w:val="00127ED2"/>
    <w:rsid w:val="00145CCE"/>
    <w:rsid w:val="00160C87"/>
    <w:rsid w:val="0016723A"/>
    <w:rsid w:val="001672DA"/>
    <w:rsid w:val="00176943"/>
    <w:rsid w:val="00183D19"/>
    <w:rsid w:val="00197ED8"/>
    <w:rsid w:val="001C37DA"/>
    <w:rsid w:val="001C7F45"/>
    <w:rsid w:val="001D309E"/>
    <w:rsid w:val="001E5AB7"/>
    <w:rsid w:val="001F24A2"/>
    <w:rsid w:val="002075D0"/>
    <w:rsid w:val="002438F8"/>
    <w:rsid w:val="00243DF3"/>
    <w:rsid w:val="00252BAB"/>
    <w:rsid w:val="00262BD5"/>
    <w:rsid w:val="002637AD"/>
    <w:rsid w:val="00264C1C"/>
    <w:rsid w:val="002747ED"/>
    <w:rsid w:val="0028637F"/>
    <w:rsid w:val="002A6E6D"/>
    <w:rsid w:val="003024B0"/>
    <w:rsid w:val="00314FC2"/>
    <w:rsid w:val="00330876"/>
    <w:rsid w:val="003513E1"/>
    <w:rsid w:val="00352372"/>
    <w:rsid w:val="00380E80"/>
    <w:rsid w:val="00391A84"/>
    <w:rsid w:val="00392A5D"/>
    <w:rsid w:val="0039311C"/>
    <w:rsid w:val="00395FEA"/>
    <w:rsid w:val="003B209D"/>
    <w:rsid w:val="003B2C45"/>
    <w:rsid w:val="003B3FFF"/>
    <w:rsid w:val="003C119B"/>
    <w:rsid w:val="003E63DE"/>
    <w:rsid w:val="003F7179"/>
    <w:rsid w:val="00403035"/>
    <w:rsid w:val="0040469F"/>
    <w:rsid w:val="004225C5"/>
    <w:rsid w:val="00424E23"/>
    <w:rsid w:val="00436321"/>
    <w:rsid w:val="00445844"/>
    <w:rsid w:val="00445948"/>
    <w:rsid w:val="0044660C"/>
    <w:rsid w:val="00452471"/>
    <w:rsid w:val="00461D4E"/>
    <w:rsid w:val="0046752E"/>
    <w:rsid w:val="00472FE4"/>
    <w:rsid w:val="004836FC"/>
    <w:rsid w:val="004856E2"/>
    <w:rsid w:val="00485AAA"/>
    <w:rsid w:val="00486AF3"/>
    <w:rsid w:val="004A1EBE"/>
    <w:rsid w:val="004A54FB"/>
    <w:rsid w:val="004C63B0"/>
    <w:rsid w:val="004D2D9D"/>
    <w:rsid w:val="004D71CB"/>
    <w:rsid w:val="004E5D5E"/>
    <w:rsid w:val="004E70F3"/>
    <w:rsid w:val="004F6823"/>
    <w:rsid w:val="0051214D"/>
    <w:rsid w:val="00515F7B"/>
    <w:rsid w:val="00534390"/>
    <w:rsid w:val="00537730"/>
    <w:rsid w:val="00541456"/>
    <w:rsid w:val="00542C2A"/>
    <w:rsid w:val="00550337"/>
    <w:rsid w:val="00557720"/>
    <w:rsid w:val="00565D5E"/>
    <w:rsid w:val="00567797"/>
    <w:rsid w:val="005B0E2E"/>
    <w:rsid w:val="005B48F8"/>
    <w:rsid w:val="005C46C3"/>
    <w:rsid w:val="005C6D4C"/>
    <w:rsid w:val="005D02EA"/>
    <w:rsid w:val="005D1034"/>
    <w:rsid w:val="005E50E0"/>
    <w:rsid w:val="005F4810"/>
    <w:rsid w:val="005F5493"/>
    <w:rsid w:val="00600166"/>
    <w:rsid w:val="006059E4"/>
    <w:rsid w:val="00621970"/>
    <w:rsid w:val="006249BE"/>
    <w:rsid w:val="0063262F"/>
    <w:rsid w:val="0064762E"/>
    <w:rsid w:val="00651829"/>
    <w:rsid w:val="00653923"/>
    <w:rsid w:val="00660218"/>
    <w:rsid w:val="00661DD4"/>
    <w:rsid w:val="006729D8"/>
    <w:rsid w:val="006809BB"/>
    <w:rsid w:val="00681748"/>
    <w:rsid w:val="00693007"/>
    <w:rsid w:val="00697DA5"/>
    <w:rsid w:val="006B5BFF"/>
    <w:rsid w:val="006C2684"/>
    <w:rsid w:val="006C562D"/>
    <w:rsid w:val="006E72CD"/>
    <w:rsid w:val="006F7D6E"/>
    <w:rsid w:val="00706336"/>
    <w:rsid w:val="00735033"/>
    <w:rsid w:val="007454AD"/>
    <w:rsid w:val="00756283"/>
    <w:rsid w:val="00760E3C"/>
    <w:rsid w:val="007626D6"/>
    <w:rsid w:val="00765D92"/>
    <w:rsid w:val="00773643"/>
    <w:rsid w:val="00780008"/>
    <w:rsid w:val="00781892"/>
    <w:rsid w:val="0079787D"/>
    <w:rsid w:val="007B5CCC"/>
    <w:rsid w:val="007F7A6D"/>
    <w:rsid w:val="00806192"/>
    <w:rsid w:val="00827297"/>
    <w:rsid w:val="00840181"/>
    <w:rsid w:val="00843904"/>
    <w:rsid w:val="00851F31"/>
    <w:rsid w:val="00853A46"/>
    <w:rsid w:val="008961AA"/>
    <w:rsid w:val="008B5507"/>
    <w:rsid w:val="008B6A34"/>
    <w:rsid w:val="008E507D"/>
    <w:rsid w:val="00933259"/>
    <w:rsid w:val="009333B1"/>
    <w:rsid w:val="00962078"/>
    <w:rsid w:val="00963A82"/>
    <w:rsid w:val="00965461"/>
    <w:rsid w:val="00972775"/>
    <w:rsid w:val="009A535D"/>
    <w:rsid w:val="009D2840"/>
    <w:rsid w:val="009E68BF"/>
    <w:rsid w:val="00A2193D"/>
    <w:rsid w:val="00A37ED0"/>
    <w:rsid w:val="00A461A6"/>
    <w:rsid w:val="00A46C99"/>
    <w:rsid w:val="00A630F7"/>
    <w:rsid w:val="00A65AA4"/>
    <w:rsid w:val="00A774A1"/>
    <w:rsid w:val="00A90B32"/>
    <w:rsid w:val="00A97D89"/>
    <w:rsid w:val="00AA4B56"/>
    <w:rsid w:val="00AB4D1D"/>
    <w:rsid w:val="00AD5A09"/>
    <w:rsid w:val="00AD5E66"/>
    <w:rsid w:val="00AE059A"/>
    <w:rsid w:val="00AE4E77"/>
    <w:rsid w:val="00AE6BFB"/>
    <w:rsid w:val="00AF66C9"/>
    <w:rsid w:val="00B01702"/>
    <w:rsid w:val="00B02640"/>
    <w:rsid w:val="00B07D70"/>
    <w:rsid w:val="00B2342E"/>
    <w:rsid w:val="00B31AB9"/>
    <w:rsid w:val="00B32E47"/>
    <w:rsid w:val="00B40238"/>
    <w:rsid w:val="00B47698"/>
    <w:rsid w:val="00B65AA7"/>
    <w:rsid w:val="00B92837"/>
    <w:rsid w:val="00BB2FA4"/>
    <w:rsid w:val="00BC1B7A"/>
    <w:rsid w:val="00BC3735"/>
    <w:rsid w:val="00BD0516"/>
    <w:rsid w:val="00BE0354"/>
    <w:rsid w:val="00BE7642"/>
    <w:rsid w:val="00C25EB2"/>
    <w:rsid w:val="00C26533"/>
    <w:rsid w:val="00C46504"/>
    <w:rsid w:val="00C5624C"/>
    <w:rsid w:val="00C75DEB"/>
    <w:rsid w:val="00C8469D"/>
    <w:rsid w:val="00C86482"/>
    <w:rsid w:val="00C95D8F"/>
    <w:rsid w:val="00CA43AB"/>
    <w:rsid w:val="00CC0EE6"/>
    <w:rsid w:val="00CC122D"/>
    <w:rsid w:val="00CC4509"/>
    <w:rsid w:val="00CD0703"/>
    <w:rsid w:val="00CD1D9D"/>
    <w:rsid w:val="00CD7BF3"/>
    <w:rsid w:val="00CF60E3"/>
    <w:rsid w:val="00D016D4"/>
    <w:rsid w:val="00D064B2"/>
    <w:rsid w:val="00D070FF"/>
    <w:rsid w:val="00D075C6"/>
    <w:rsid w:val="00D07BED"/>
    <w:rsid w:val="00D24079"/>
    <w:rsid w:val="00D33CE4"/>
    <w:rsid w:val="00D5587F"/>
    <w:rsid w:val="00D74CE0"/>
    <w:rsid w:val="00D86827"/>
    <w:rsid w:val="00D947CC"/>
    <w:rsid w:val="00D96442"/>
    <w:rsid w:val="00DC6BAB"/>
    <w:rsid w:val="00DD5260"/>
    <w:rsid w:val="00DF24C9"/>
    <w:rsid w:val="00DF5E8A"/>
    <w:rsid w:val="00E06EE8"/>
    <w:rsid w:val="00E1285D"/>
    <w:rsid w:val="00E17FC4"/>
    <w:rsid w:val="00E30393"/>
    <w:rsid w:val="00E30EC6"/>
    <w:rsid w:val="00E32B2A"/>
    <w:rsid w:val="00E43241"/>
    <w:rsid w:val="00F04A07"/>
    <w:rsid w:val="00F07377"/>
    <w:rsid w:val="00F12C83"/>
    <w:rsid w:val="00F132D8"/>
    <w:rsid w:val="00F14489"/>
    <w:rsid w:val="00F1451B"/>
    <w:rsid w:val="00F21E25"/>
    <w:rsid w:val="00F532F0"/>
    <w:rsid w:val="00F61FE5"/>
    <w:rsid w:val="00F6467F"/>
    <w:rsid w:val="00F650CE"/>
    <w:rsid w:val="00F86A75"/>
    <w:rsid w:val="00F87D8C"/>
    <w:rsid w:val="00F908D1"/>
    <w:rsid w:val="00FB455F"/>
    <w:rsid w:val="00FB5CFE"/>
    <w:rsid w:val="00FD2348"/>
    <w:rsid w:val="00FD3514"/>
    <w:rsid w:val="00FF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9B336"/>
  <w15:chartTrackingRefBased/>
  <w15:docId w15:val="{2CAA6FAC-9EC9-47D1-89CA-D1124797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68BF"/>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702"/>
    <w:pPr>
      <w:ind w:firstLineChars="200" w:firstLine="420"/>
    </w:pPr>
  </w:style>
  <w:style w:type="paragraph" w:styleId="a4">
    <w:name w:val="Balloon Text"/>
    <w:basedOn w:val="a"/>
    <w:link w:val="Char"/>
    <w:uiPriority w:val="99"/>
    <w:semiHidden/>
    <w:unhideWhenUsed/>
    <w:rsid w:val="004D71CB"/>
    <w:rPr>
      <w:sz w:val="18"/>
      <w:szCs w:val="18"/>
    </w:rPr>
  </w:style>
  <w:style w:type="character" w:customStyle="1" w:styleId="Char">
    <w:name w:val="批注框文本 Char"/>
    <w:basedOn w:val="a0"/>
    <w:link w:val="a4"/>
    <w:uiPriority w:val="99"/>
    <w:semiHidden/>
    <w:rsid w:val="004D71CB"/>
    <w:rPr>
      <w:sz w:val="18"/>
      <w:szCs w:val="18"/>
    </w:rPr>
  </w:style>
  <w:style w:type="paragraph" w:styleId="a5">
    <w:name w:val="header"/>
    <w:basedOn w:val="a"/>
    <w:link w:val="Char0"/>
    <w:uiPriority w:val="99"/>
    <w:unhideWhenUsed/>
    <w:rsid w:val="00F61F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61FE5"/>
    <w:rPr>
      <w:sz w:val="18"/>
      <w:szCs w:val="18"/>
    </w:rPr>
  </w:style>
  <w:style w:type="paragraph" w:styleId="a6">
    <w:name w:val="footer"/>
    <w:basedOn w:val="a"/>
    <w:link w:val="Char1"/>
    <w:uiPriority w:val="99"/>
    <w:unhideWhenUsed/>
    <w:rsid w:val="00F61FE5"/>
    <w:pPr>
      <w:tabs>
        <w:tab w:val="center" w:pos="4153"/>
        <w:tab w:val="right" w:pos="8306"/>
      </w:tabs>
      <w:snapToGrid w:val="0"/>
      <w:jc w:val="left"/>
    </w:pPr>
    <w:rPr>
      <w:sz w:val="18"/>
      <w:szCs w:val="18"/>
    </w:rPr>
  </w:style>
  <w:style w:type="character" w:customStyle="1" w:styleId="Char1">
    <w:name w:val="页脚 Char"/>
    <w:basedOn w:val="a0"/>
    <w:link w:val="a6"/>
    <w:uiPriority w:val="99"/>
    <w:rsid w:val="00F61FE5"/>
    <w:rPr>
      <w:sz w:val="18"/>
      <w:szCs w:val="18"/>
    </w:rPr>
  </w:style>
  <w:style w:type="character" w:styleId="a7">
    <w:name w:val="annotation reference"/>
    <w:basedOn w:val="a0"/>
    <w:uiPriority w:val="99"/>
    <w:semiHidden/>
    <w:unhideWhenUsed/>
    <w:rsid w:val="001C37DA"/>
    <w:rPr>
      <w:sz w:val="21"/>
      <w:szCs w:val="21"/>
    </w:rPr>
  </w:style>
  <w:style w:type="paragraph" w:styleId="a8">
    <w:name w:val="annotation text"/>
    <w:basedOn w:val="a"/>
    <w:link w:val="Char2"/>
    <w:uiPriority w:val="99"/>
    <w:semiHidden/>
    <w:unhideWhenUsed/>
    <w:rsid w:val="001C37DA"/>
    <w:pPr>
      <w:jc w:val="left"/>
    </w:pPr>
  </w:style>
  <w:style w:type="character" w:customStyle="1" w:styleId="Char2">
    <w:name w:val="批注文字 Char"/>
    <w:basedOn w:val="a0"/>
    <w:link w:val="a8"/>
    <w:uiPriority w:val="99"/>
    <w:semiHidden/>
    <w:rsid w:val="001C37DA"/>
  </w:style>
  <w:style w:type="paragraph" w:styleId="a9">
    <w:name w:val="annotation subject"/>
    <w:basedOn w:val="a8"/>
    <w:next w:val="a8"/>
    <w:link w:val="Char3"/>
    <w:uiPriority w:val="99"/>
    <w:semiHidden/>
    <w:unhideWhenUsed/>
    <w:rsid w:val="001C37DA"/>
    <w:rPr>
      <w:b/>
      <w:bCs/>
    </w:rPr>
  </w:style>
  <w:style w:type="character" w:customStyle="1" w:styleId="Char3">
    <w:name w:val="批注主题 Char"/>
    <w:basedOn w:val="Char2"/>
    <w:link w:val="a9"/>
    <w:uiPriority w:val="99"/>
    <w:semiHidden/>
    <w:rsid w:val="001C37DA"/>
    <w:rPr>
      <w:b/>
      <w:bCs/>
    </w:rPr>
  </w:style>
  <w:style w:type="paragraph" w:styleId="aa">
    <w:name w:val="Revision"/>
    <w:hidden/>
    <w:uiPriority w:val="99"/>
    <w:semiHidden/>
    <w:rsid w:val="00C75DEB"/>
  </w:style>
  <w:style w:type="character" w:customStyle="1" w:styleId="1Char">
    <w:name w:val="标题 1 Char"/>
    <w:basedOn w:val="a0"/>
    <w:link w:val="1"/>
    <w:uiPriority w:val="9"/>
    <w:rsid w:val="009E68BF"/>
    <w:rPr>
      <w:rFonts w:eastAsia="黑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99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2021-09-30T07:20:00Z</cp:lastPrinted>
  <dcterms:created xsi:type="dcterms:W3CDTF">2021-10-28T10:32:00Z</dcterms:created>
  <dcterms:modified xsi:type="dcterms:W3CDTF">2021-11-01T09:49:00Z</dcterms:modified>
</cp:coreProperties>
</file>