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widowControl/>
        <w:shd w:val="clear" w:color="auto" w:fill="FFFFFF"/>
        <w:spacing w:line="600" w:lineRule="exact"/>
        <w:rPr>
          <w:rFonts w:ascii="Times New Roman" w:eastAsia="黑体" w:hAnsi="Times New Roman" w:hint="eastAsia"/>
          <w:bCs/>
          <w:color w:val="000000"/>
          <w:sz w:val="32"/>
          <w:szCs w:val="30"/>
        </w:rPr>
      </w:pPr>
    </w:p>
    <w:p w:rsidR="00000000" w:rsidRDefault="00000000">
      <w:pPr>
        <w:widowControl/>
        <w:shd w:val="clear" w:color="auto" w:fill="FFFFFF"/>
        <w:spacing w:line="600" w:lineRule="exact"/>
        <w:jc w:val="center"/>
        <w:outlineLvl w:val="0"/>
        <w:rPr>
          <w:rFonts w:ascii="Times New Roman" w:eastAsia="方正大标宋简体" w:hAnsi="Times New Roman"/>
          <w:color w:val="000000"/>
          <w:sz w:val="44"/>
          <w:szCs w:val="42"/>
        </w:rPr>
      </w:pPr>
      <w:r>
        <w:rPr>
          <w:rFonts w:ascii="Times New Roman" w:eastAsia="方正大标宋简体" w:hAnsi="Times New Roman" w:hint="eastAsia"/>
          <w:color w:val="000000"/>
          <w:sz w:val="44"/>
          <w:szCs w:val="42"/>
        </w:rPr>
        <w:t>北京证券交易所上市</w:t>
      </w:r>
      <w:r>
        <w:rPr>
          <w:rFonts w:ascii="Times New Roman" w:eastAsia="方正大标宋简体" w:hAnsi="Times New Roman"/>
          <w:color w:val="000000"/>
          <w:sz w:val="44"/>
          <w:szCs w:val="42"/>
        </w:rPr>
        <w:t>公司持续</w:t>
      </w:r>
      <w:r>
        <w:rPr>
          <w:rFonts w:ascii="Times New Roman" w:eastAsia="方正大标宋简体" w:hAnsi="Times New Roman" w:hint="eastAsia"/>
          <w:color w:val="000000"/>
          <w:sz w:val="44"/>
          <w:szCs w:val="42"/>
        </w:rPr>
        <w:t>监管指引</w:t>
      </w:r>
    </w:p>
    <w:p w:rsidR="00000000" w:rsidRDefault="00000000">
      <w:pPr>
        <w:widowControl/>
        <w:shd w:val="clear" w:color="auto" w:fill="FFFFFF"/>
        <w:spacing w:line="600" w:lineRule="exact"/>
        <w:jc w:val="center"/>
        <w:outlineLvl w:val="0"/>
        <w:rPr>
          <w:rFonts w:ascii="Times New Roman" w:eastAsia="方正大标宋简体" w:hAnsi="Times New Roman" w:hint="eastAsia"/>
          <w:color w:val="000000"/>
          <w:sz w:val="44"/>
          <w:szCs w:val="42"/>
        </w:rPr>
      </w:pPr>
      <w:r>
        <w:rPr>
          <w:rFonts w:ascii="Times New Roman" w:eastAsia="方正大标宋简体" w:hAnsi="Times New Roman" w:hint="eastAsia"/>
          <w:color w:val="000000"/>
          <w:sz w:val="44"/>
          <w:szCs w:val="42"/>
        </w:rPr>
        <w:t>第</w:t>
      </w:r>
      <w:r>
        <w:rPr>
          <w:rFonts w:ascii="Times New Roman" w:eastAsia="方正大标宋简体" w:hAnsi="Times New Roman" w:hint="eastAsia"/>
          <w:color w:val="000000"/>
          <w:sz w:val="44"/>
          <w:szCs w:val="42"/>
        </w:rPr>
        <w:t>7</w:t>
      </w:r>
      <w:r>
        <w:rPr>
          <w:rFonts w:ascii="Times New Roman" w:eastAsia="方正大标宋简体" w:hAnsi="Times New Roman" w:hint="eastAsia"/>
          <w:color w:val="000000"/>
          <w:sz w:val="44"/>
          <w:szCs w:val="42"/>
        </w:rPr>
        <w:t>号</w:t>
      </w:r>
      <w:r>
        <w:rPr>
          <w:rFonts w:ascii="Times New Roman" w:eastAsia="方正大标宋简体" w:hAnsi="Times New Roman"/>
          <w:color w:val="000000"/>
          <w:sz w:val="44"/>
          <w:szCs w:val="42"/>
        </w:rPr>
        <w:t>——</w:t>
      </w:r>
      <w:r>
        <w:rPr>
          <w:rFonts w:ascii="Times New Roman" w:eastAsia="方正大标宋简体" w:hAnsi="Times New Roman"/>
          <w:color w:val="000000"/>
          <w:sz w:val="44"/>
          <w:szCs w:val="42"/>
        </w:rPr>
        <w:t>转板</w:t>
      </w:r>
    </w:p>
    <w:p w:rsidR="00000000" w:rsidRDefault="00000000">
      <w:pPr>
        <w:widowControl/>
        <w:shd w:val="clear" w:color="auto" w:fill="FFFFFF"/>
        <w:spacing w:line="600" w:lineRule="exact"/>
        <w:jc w:val="center"/>
        <w:rPr>
          <w:rFonts w:ascii="Times New Roman" w:eastAsia="方正大标宋简体" w:hAnsi="Times New Roman"/>
          <w:color w:val="000000"/>
          <w:sz w:val="44"/>
          <w:szCs w:val="42"/>
        </w:rPr>
      </w:pPr>
    </w:p>
    <w:p w:rsidR="00000000" w:rsidRDefault="00000000">
      <w:pPr>
        <w:tabs>
          <w:tab w:val="left" w:pos="7597"/>
        </w:tabs>
        <w:ind w:firstLineChars="200" w:firstLine="653"/>
        <w:rPr>
          <w:rFonts w:ascii="仿宋" w:eastAsia="仿宋" w:hAnsi="仿宋" w:cs="仿宋" w:hint="eastAsia"/>
          <w:sz w:val="32"/>
          <w:szCs w:val="32"/>
        </w:rPr>
      </w:pPr>
      <w:r>
        <w:rPr>
          <w:rFonts w:ascii="仿宋" w:eastAsia="仿宋" w:hAnsi="仿宋" w:cs="仿宋" w:hint="eastAsia"/>
          <w:b/>
          <w:sz w:val="32"/>
          <w:szCs w:val="32"/>
        </w:rPr>
        <w:t xml:space="preserve">第一条 </w:t>
      </w:r>
      <w:r>
        <w:rPr>
          <w:rFonts w:ascii="仿宋" w:eastAsia="仿宋" w:hAnsi="仿宋" w:cs="仿宋" w:hint="eastAsia"/>
          <w:sz w:val="32"/>
          <w:szCs w:val="32"/>
        </w:rPr>
        <w:t>为了规范北京证券交易所（以下简称本所）上市公司转板相关信息披露、股票停复牌、终止上市等行为，保护投资者合法权益，根据《中国证监会关于北京证券交易所上市公司转板的指导意见》《关于高质量建设北京证券交易所的意见》《北京证券交易所股票上市规则（试行）》等规定，制定本指引。</w:t>
      </w:r>
    </w:p>
    <w:p w:rsidR="00000000" w:rsidRDefault="00000000">
      <w:pPr>
        <w:tabs>
          <w:tab w:val="left" w:pos="7597"/>
        </w:tabs>
        <w:ind w:firstLineChars="200" w:firstLine="653"/>
        <w:rPr>
          <w:rFonts w:ascii="仿宋" w:eastAsia="仿宋" w:hAnsi="仿宋" w:cs="仿宋" w:hint="eastAsia"/>
          <w:sz w:val="32"/>
          <w:szCs w:val="32"/>
        </w:rPr>
      </w:pPr>
      <w:r>
        <w:rPr>
          <w:rFonts w:ascii="仿宋" w:eastAsia="仿宋" w:hAnsi="仿宋" w:cs="仿宋" w:hint="eastAsia"/>
          <w:b/>
          <w:sz w:val="32"/>
          <w:szCs w:val="32"/>
        </w:rPr>
        <w:t xml:space="preserve">第二条 </w:t>
      </w:r>
      <w:r>
        <w:rPr>
          <w:rFonts w:ascii="仿宋" w:eastAsia="仿宋" w:hAnsi="仿宋" w:cs="仿宋" w:hint="eastAsia"/>
          <w:sz w:val="32"/>
          <w:szCs w:val="32"/>
        </w:rPr>
        <w:t>上市公司向上海证券交易所（以下简称上交所）或者深圳证券交易所（以下简称深交所）申请转板有关事宜适用本指引；本指引未作规定的，适用本所其他有关规定。</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sz w:val="32"/>
          <w:szCs w:val="32"/>
        </w:rPr>
        <w:t xml:space="preserve">第三条 </w:t>
      </w:r>
      <w:r>
        <w:rPr>
          <w:rFonts w:ascii="仿宋" w:eastAsia="仿宋" w:hAnsi="仿宋" w:cs="仿宋" w:hint="eastAsia"/>
          <w:sz w:val="32"/>
          <w:szCs w:val="32"/>
        </w:rPr>
        <w:t>上市公司筹划转板相关事宜，应当做好保密工作，控制知情人范围。上市公司控股股东、实际控制人、董事、监事、高级管理人员及其他内幕信息知情人在相关信息披露前，不得买卖公司证券，不得泄露内幕信息，不得建议他人买卖公司证券。</w:t>
      </w:r>
    </w:p>
    <w:p w:rsidR="00000000" w:rsidRDefault="00000000">
      <w:pPr>
        <w:tabs>
          <w:tab w:val="center" w:pos="4474"/>
        </w:tabs>
        <w:ind w:firstLineChars="200" w:firstLine="653"/>
        <w:rPr>
          <w:rFonts w:ascii="仿宋" w:eastAsia="仿宋" w:hAnsi="仿宋" w:cs="仿宋" w:hint="eastAsia"/>
          <w:strike/>
          <w:sz w:val="32"/>
          <w:szCs w:val="32"/>
        </w:rPr>
      </w:pPr>
      <w:r>
        <w:rPr>
          <w:rFonts w:ascii="仿宋" w:eastAsia="仿宋" w:hAnsi="仿宋" w:cs="仿宋" w:hint="eastAsia"/>
          <w:b/>
          <w:bCs/>
          <w:sz w:val="32"/>
          <w:szCs w:val="32"/>
        </w:rPr>
        <w:t>第</w:t>
      </w:r>
      <w:r>
        <w:rPr>
          <w:rFonts w:ascii="仿宋" w:eastAsia="仿宋" w:hAnsi="仿宋" w:cs="仿宋" w:hint="eastAsia"/>
          <w:b/>
          <w:sz w:val="32"/>
          <w:szCs w:val="32"/>
        </w:rPr>
        <w:t xml:space="preserve">四条 </w:t>
      </w:r>
      <w:r>
        <w:rPr>
          <w:rFonts w:ascii="仿宋" w:eastAsia="仿宋" w:hAnsi="仿宋" w:cs="仿宋" w:hint="eastAsia"/>
          <w:sz w:val="32"/>
          <w:szCs w:val="32"/>
        </w:rPr>
        <w:t>上市公司申请转板的，应当按照本指引及本所有关规定，规范履行信息披露义务。</w:t>
      </w:r>
    </w:p>
    <w:p w:rsidR="00000000" w:rsidRDefault="00000000">
      <w:pPr>
        <w:tabs>
          <w:tab w:val="center" w:pos="4474"/>
        </w:tabs>
        <w:ind w:firstLineChars="200" w:firstLine="653"/>
        <w:rPr>
          <w:rFonts w:ascii="仿宋" w:eastAsia="仿宋" w:hAnsi="仿宋" w:cs="仿宋" w:hint="eastAsia"/>
          <w:bCs/>
          <w:sz w:val="32"/>
          <w:szCs w:val="32"/>
        </w:rPr>
      </w:pPr>
      <w:r>
        <w:rPr>
          <w:rFonts w:ascii="仿宋" w:eastAsia="仿宋" w:hAnsi="仿宋" w:cs="仿宋" w:hint="eastAsia"/>
          <w:b/>
          <w:bCs/>
          <w:sz w:val="32"/>
          <w:szCs w:val="32"/>
        </w:rPr>
        <w:t>第五条</w:t>
      </w:r>
      <w:r>
        <w:rPr>
          <w:rFonts w:ascii="仿宋" w:eastAsia="仿宋" w:hAnsi="仿宋" w:cs="仿宋" w:hint="eastAsia"/>
          <w:b/>
          <w:sz w:val="32"/>
          <w:szCs w:val="32"/>
        </w:rPr>
        <w:t xml:space="preserve"> </w:t>
      </w:r>
      <w:r>
        <w:rPr>
          <w:rFonts w:ascii="仿宋" w:eastAsia="仿宋" w:hAnsi="仿宋" w:cs="仿宋" w:hint="eastAsia"/>
          <w:bCs/>
          <w:sz w:val="32"/>
          <w:szCs w:val="32"/>
        </w:rPr>
        <w:t>上市公司启动转板，应审慎评估是否符合转板条件，并按照相关规定聘请保荐机构进行保荐。上市公司选</w:t>
      </w:r>
      <w:r>
        <w:rPr>
          <w:rFonts w:ascii="仿宋" w:eastAsia="仿宋" w:hAnsi="仿宋" w:cs="仿宋" w:hint="eastAsia"/>
          <w:bCs/>
          <w:sz w:val="32"/>
          <w:szCs w:val="32"/>
        </w:rPr>
        <w:lastRenderedPageBreak/>
        <w:t>聘保荐机构，应当综合考虑保荐机构在其拟转入板块的首次公开发行并上市业务经验、执业质量等因素，充分了解保荐机构的胜任能力。</w:t>
      </w:r>
    </w:p>
    <w:p w:rsidR="00000000" w:rsidRDefault="00000000">
      <w:pPr>
        <w:tabs>
          <w:tab w:val="center" w:pos="4474"/>
        </w:tabs>
        <w:ind w:firstLineChars="200" w:firstLine="640"/>
        <w:rPr>
          <w:rFonts w:ascii="仿宋" w:eastAsia="仿宋" w:hAnsi="仿宋" w:cs="仿宋" w:hint="eastAsia"/>
          <w:bCs/>
          <w:sz w:val="32"/>
          <w:szCs w:val="32"/>
        </w:rPr>
      </w:pPr>
      <w:r>
        <w:rPr>
          <w:rFonts w:ascii="仿宋" w:eastAsia="仿宋" w:hAnsi="仿宋" w:cs="仿宋" w:hint="eastAsia"/>
          <w:bCs/>
          <w:sz w:val="32"/>
          <w:szCs w:val="32"/>
        </w:rPr>
        <w:t>保荐机构应当切实履行保荐职责，遵守法律法规和行业自律规范的要求，严格执行内控制度，充分了解公司经营情况和风险，对公司是否符合转板条件独立作出专业判断，并以此为基础与上市公司签订转板保荐协议。</w:t>
      </w:r>
    </w:p>
    <w:p w:rsidR="00000000" w:rsidRDefault="00000000">
      <w:pPr>
        <w:tabs>
          <w:tab w:val="center" w:pos="4474"/>
        </w:tabs>
        <w:ind w:firstLineChars="200" w:firstLine="653"/>
        <w:rPr>
          <w:rFonts w:ascii="仿宋" w:eastAsia="仿宋" w:hAnsi="仿宋" w:cs="仿宋" w:hint="eastAsia"/>
          <w:bCs/>
          <w:sz w:val="32"/>
          <w:szCs w:val="32"/>
        </w:rPr>
      </w:pPr>
      <w:r>
        <w:rPr>
          <w:rFonts w:ascii="仿宋" w:eastAsia="仿宋" w:hAnsi="仿宋" w:cs="仿宋" w:hint="eastAsia"/>
          <w:b/>
          <w:bCs/>
          <w:sz w:val="32"/>
          <w:szCs w:val="32"/>
        </w:rPr>
        <w:t>第六条</w:t>
      </w:r>
      <w:r>
        <w:rPr>
          <w:rFonts w:ascii="仿宋" w:eastAsia="仿宋" w:hAnsi="仿宋" w:cs="仿宋" w:hint="eastAsia"/>
          <w:b/>
          <w:sz w:val="32"/>
          <w:szCs w:val="32"/>
        </w:rPr>
        <w:t xml:space="preserve"> </w:t>
      </w:r>
      <w:r>
        <w:rPr>
          <w:rFonts w:ascii="仿宋" w:eastAsia="仿宋" w:hAnsi="仿宋" w:cs="仿宋" w:hint="eastAsia"/>
          <w:bCs/>
          <w:sz w:val="32"/>
          <w:szCs w:val="32"/>
        </w:rPr>
        <w:t>保荐机构与上市公司签订转板保荐协议后，保荐机构应当及时向本所提交下列报备文件：</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（一）转板保荐协议；</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（二）保荐机构专项说明，内容包括上市公司符合拟转入板块条件的尽职调查情况等；</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（三）股票交易情况自查报告，内容包括上市公司及其控股股东、实际控制人、董事、监事、高级管理人员，保荐机构和其他知悉转板信息的主体，以及前述人员直系亲属在筹划转板事宜之日至</w:t>
      </w:r>
      <w:r>
        <w:rPr>
          <w:rFonts w:ascii="仿宋" w:eastAsia="仿宋" w:hAnsi="仿宋" w:cs="仿宋" w:hint="eastAsia"/>
          <w:bCs/>
          <w:sz w:val="32"/>
          <w:szCs w:val="32"/>
        </w:rPr>
        <w:t>签订转板保荐协议之日，</w:t>
      </w:r>
      <w:r>
        <w:rPr>
          <w:rFonts w:ascii="仿宋" w:eastAsia="仿宋" w:hAnsi="仿宋" w:cs="仿宋" w:hint="eastAsia"/>
          <w:sz w:val="32"/>
          <w:szCs w:val="32"/>
        </w:rPr>
        <w:t>买卖该上市公司股票情况；</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（四）本所要求的其他文件。</w:t>
      </w:r>
    </w:p>
    <w:p w:rsidR="00000000" w:rsidRDefault="00000000">
      <w:pPr>
        <w:tabs>
          <w:tab w:val="center" w:pos="4474"/>
        </w:tabs>
        <w:ind w:firstLineChars="200" w:firstLine="653"/>
        <w:outlineLvl w:val="0"/>
        <w:rPr>
          <w:rFonts w:ascii="仿宋" w:eastAsia="仿宋" w:hAnsi="仿宋" w:cs="仿宋" w:hint="eastAsia"/>
          <w:sz w:val="32"/>
          <w:szCs w:val="32"/>
        </w:rPr>
      </w:pPr>
      <w:r>
        <w:rPr>
          <w:rFonts w:ascii="仿宋" w:eastAsia="仿宋" w:hAnsi="仿宋" w:cs="仿宋" w:hint="eastAsia"/>
          <w:b/>
          <w:bCs/>
          <w:sz w:val="32"/>
          <w:szCs w:val="32"/>
        </w:rPr>
        <w:t>第七条</w:t>
      </w:r>
      <w:r>
        <w:rPr>
          <w:rFonts w:ascii="仿宋" w:eastAsia="仿宋" w:hAnsi="仿宋" w:cs="仿宋" w:hint="eastAsia"/>
          <w:b/>
          <w:sz w:val="32"/>
          <w:szCs w:val="32"/>
        </w:rPr>
        <w:t xml:space="preserve"> </w:t>
      </w:r>
      <w:r>
        <w:rPr>
          <w:rFonts w:ascii="仿宋" w:eastAsia="仿宋" w:hAnsi="仿宋" w:cs="仿宋" w:hint="eastAsia"/>
          <w:bCs/>
          <w:sz w:val="32"/>
          <w:szCs w:val="32"/>
        </w:rPr>
        <w:t>本所根据本指引有关规定对保荐机构提交的报备文件进行完备性核对，同时进行股票交易核查，并与上交所或深交所就涉及的重要监管事项进行沟通协调。</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第八条</w:t>
      </w:r>
      <w:r>
        <w:rPr>
          <w:rFonts w:ascii="仿宋" w:eastAsia="仿宋" w:hAnsi="仿宋" w:cs="仿宋" w:hint="eastAsia"/>
          <w:b/>
          <w:sz w:val="32"/>
          <w:szCs w:val="32"/>
        </w:rPr>
        <w:t xml:space="preserve"> </w:t>
      </w:r>
      <w:r>
        <w:rPr>
          <w:rFonts w:ascii="仿宋" w:eastAsia="仿宋" w:hAnsi="仿宋" w:cs="仿宋" w:hint="eastAsia"/>
          <w:sz w:val="32"/>
          <w:szCs w:val="32"/>
        </w:rPr>
        <w:t>上市公司董事会应当就公司拟申请转板相关事</w:t>
      </w:r>
      <w:r>
        <w:rPr>
          <w:rFonts w:ascii="仿宋" w:eastAsia="仿宋" w:hAnsi="仿宋" w:cs="仿宋" w:hint="eastAsia"/>
          <w:sz w:val="32"/>
          <w:szCs w:val="32"/>
        </w:rPr>
        <w:lastRenderedPageBreak/>
        <w:t>宜作出决议，并提请股东大会批准。</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本指引第六条、第七条规定的相关工作完成后，上市公司可以召开董事会审议转板相关事宜。</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第九条</w:t>
      </w:r>
      <w:r>
        <w:rPr>
          <w:rFonts w:ascii="仿宋" w:eastAsia="仿宋" w:hAnsi="仿宋" w:cs="仿宋" w:hint="eastAsia"/>
          <w:b/>
          <w:sz w:val="32"/>
          <w:szCs w:val="32"/>
        </w:rPr>
        <w:t xml:space="preserve"> </w:t>
      </w:r>
      <w:r>
        <w:rPr>
          <w:rFonts w:ascii="仿宋" w:eastAsia="仿宋" w:hAnsi="仿宋" w:cs="仿宋" w:hint="eastAsia"/>
          <w:sz w:val="32"/>
          <w:szCs w:val="32"/>
        </w:rPr>
        <w:t>上市公司股东大会就公司拟申请转板相关事宜作出决议，至少应当包括下列事项：</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（一）转板板块；</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（二）转板的证券种类和数量；</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（三）以获得转板同意为生效条件的股票终止上市事项；</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（四）决议有效期；</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（五）对董事会办理本次转板具体事宜的授权；</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（六）其他应当明确的事项。</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第十条</w:t>
      </w:r>
      <w:r>
        <w:rPr>
          <w:rFonts w:ascii="仿宋" w:eastAsia="仿宋" w:hAnsi="仿宋" w:cs="仿宋" w:hint="eastAsia"/>
          <w:b/>
          <w:sz w:val="32"/>
          <w:szCs w:val="32"/>
        </w:rPr>
        <w:t xml:space="preserve"> </w:t>
      </w:r>
      <w:r>
        <w:rPr>
          <w:rFonts w:ascii="仿宋" w:eastAsia="仿宋" w:hAnsi="仿宋" w:cs="仿宋" w:hint="eastAsia"/>
          <w:sz w:val="32"/>
          <w:szCs w:val="32"/>
        </w:rPr>
        <w:t>上市公司董事会和股东大会根据本指引第八条、第九条规定作出决议时，应当按照本所信息披露有关规定，及时披露董事会和股东大会决议公告。</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上市公司应当在披露董事会决议公告同时披露关于董事会审议转板相关事宜的提示性公告，内容至少应当包括：</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（一）董事会审议拟申请转板相关事宜的时间、审议结果等基本情况；</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（二）对照上交所或深交所规定的拟转入板块上市条件，结合上市公司已披露信息，逐项说明是否符合拟转入板块上市条件；</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（三）上市公司聘请保荐机构的情况；</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（四）上市公司就转板事宜尚待审核、是否能完成转板存在不确定性等事项作出充分风险揭示；</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五）上市公司控股股东，实际控制人对本次转板的原则性意见，以及上市公司控股股东、实际控制人、董事、监事、高级管理人员关于自本提示性公告披露之日起至提交转板申请期间不减持股份的公开承诺。上市公司披露为无控股股东和实际控制人的，第一大股东应比照前述要求履行相关义务；</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（六）上市公司董事会关于转板已经审慎决策，如本次转板终止，其后六个月内不再筹划、审议转板事宜的承诺；</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（七）其他应当说明的事项。</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保荐机构应当对前款事项发表明确意见，并与提示性公告同时披露。</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第十一条</w:t>
      </w:r>
      <w:r>
        <w:rPr>
          <w:rFonts w:ascii="仿宋" w:eastAsia="仿宋" w:hAnsi="仿宋" w:cs="仿宋" w:hint="eastAsia"/>
          <w:b/>
          <w:sz w:val="32"/>
          <w:szCs w:val="32"/>
        </w:rPr>
        <w:t xml:space="preserve"> </w:t>
      </w:r>
      <w:r>
        <w:rPr>
          <w:rFonts w:ascii="仿宋" w:eastAsia="仿宋" w:hAnsi="仿宋" w:cs="仿宋" w:hint="eastAsia"/>
          <w:sz w:val="32"/>
          <w:szCs w:val="32"/>
        </w:rPr>
        <w:t>上市公司应当在审议通过拟申请转板相关事宜的董事会决议披露之日起的十个交易日内，通过内幕信息知情人报备系统，提交下列内幕信息知情人报备文件：</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（一）内幕信息知情人登记表；</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（二）相关人员买卖上市公司股票的自查报告，自查期间为首次披露拟申请转板相关信息的前六个月至董事会决议披露之日；</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（三）进程备忘录；</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（四）上市公司全体董事对内幕信息知情人报备文件真</w:t>
      </w:r>
      <w:r>
        <w:rPr>
          <w:rFonts w:ascii="仿宋" w:eastAsia="仿宋" w:hAnsi="仿宋" w:cs="仿宋" w:hint="eastAsia"/>
          <w:sz w:val="32"/>
          <w:szCs w:val="32"/>
        </w:rPr>
        <w:lastRenderedPageBreak/>
        <w:t>实性、准确性和完整性的承诺书；</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（五）本所要求的其他文件。</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第十二条</w:t>
      </w:r>
      <w:r>
        <w:rPr>
          <w:rFonts w:ascii="仿宋" w:eastAsia="仿宋" w:hAnsi="仿宋" w:cs="仿宋" w:hint="eastAsia"/>
          <w:b/>
          <w:sz w:val="32"/>
          <w:szCs w:val="32"/>
        </w:rPr>
        <w:t xml:space="preserve"> </w:t>
      </w:r>
      <w:r>
        <w:rPr>
          <w:rFonts w:ascii="仿宋" w:eastAsia="仿宋" w:hAnsi="仿宋" w:cs="仿宋" w:hint="eastAsia"/>
          <w:sz w:val="32"/>
          <w:szCs w:val="32"/>
        </w:rPr>
        <w:t>上市公司根据本指引第六条、第十一条规定报备相关文件后，本所将启动二级市场股票交易核查程序，并在后续各阶段对股票交易情况进行持续监管。本所可以要求上市公司和保荐机构提交股票交易情况说明，就是否涉嫌内幕交易、是否会影响本次转板发表明确意见。</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本所核查结果显示上市公司股票交易存在明显异常且告知上市公司和保荐机构核查结论的，上市公司原则上应当暂停推进本次转板事宜，但有证据表明相关异常交易情况不会影响本次转板的除外。</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本次转板涉嫌内幕交易等违法违规行为被证监会立案调查或者被司法机关立案侦查的，上市公司应当暂停推进本次转板事宜，不得将转板事宜提交董事会或者股东大会审议。</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上市公司已披露关于董事会审议转板相关事宜的提示性公告的，应当及时披露因股票交易涉嫌内幕交易可能终止本次转板事宜的风险提示公告。</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上市公司召开董事会审议通过转板事宜后，自主决定终止转板相关事宜的，应当根据本指引第十七条规定履行决策程序，并及时披露。</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第十三条</w:t>
      </w:r>
      <w:r>
        <w:rPr>
          <w:rFonts w:ascii="仿宋" w:eastAsia="仿宋" w:hAnsi="仿宋" w:cs="仿宋" w:hint="eastAsia"/>
          <w:b/>
          <w:sz w:val="32"/>
          <w:szCs w:val="32"/>
        </w:rPr>
        <w:t xml:space="preserve"> </w:t>
      </w:r>
      <w:r>
        <w:rPr>
          <w:rFonts w:ascii="仿宋" w:eastAsia="仿宋" w:hAnsi="仿宋" w:cs="仿宋" w:hint="eastAsia"/>
          <w:sz w:val="32"/>
          <w:szCs w:val="32"/>
        </w:rPr>
        <w:t>上市公司披露关于董事会审议转板相关事宜的提示性公告后，至向上交所或深交所提交转板申请前，至</w:t>
      </w:r>
      <w:r>
        <w:rPr>
          <w:rFonts w:ascii="仿宋" w:eastAsia="仿宋" w:hAnsi="仿宋" w:cs="仿宋" w:hint="eastAsia"/>
          <w:sz w:val="32"/>
          <w:szCs w:val="32"/>
        </w:rPr>
        <w:lastRenderedPageBreak/>
        <w:t>少应当每月披露一次进展公告，相关事项取得重要进展或重大变化的，应当及时披露。</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第十四条</w:t>
      </w:r>
      <w:r>
        <w:rPr>
          <w:rFonts w:ascii="仿宋" w:eastAsia="仿宋" w:hAnsi="仿宋" w:cs="仿宋" w:hint="eastAsia"/>
          <w:b/>
          <w:sz w:val="32"/>
          <w:szCs w:val="32"/>
        </w:rPr>
        <w:t xml:space="preserve"> </w:t>
      </w:r>
      <w:r>
        <w:rPr>
          <w:rFonts w:ascii="仿宋" w:eastAsia="仿宋" w:hAnsi="仿宋" w:cs="仿宋" w:hint="eastAsia"/>
          <w:sz w:val="32"/>
          <w:szCs w:val="32"/>
        </w:rPr>
        <w:t>上市公司应当按照本所股票停复牌有关规定，申请股票于提交转板申报材料的次一交易日停牌，并披露相关公告。</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第十五条</w:t>
      </w:r>
      <w:r>
        <w:rPr>
          <w:rFonts w:ascii="仿宋" w:eastAsia="仿宋" w:hAnsi="仿宋" w:cs="仿宋" w:hint="eastAsia"/>
          <w:b/>
          <w:sz w:val="32"/>
          <w:szCs w:val="32"/>
        </w:rPr>
        <w:t xml:space="preserve"> </w:t>
      </w:r>
      <w:r>
        <w:rPr>
          <w:rFonts w:ascii="仿宋" w:eastAsia="仿宋" w:hAnsi="仿宋" w:cs="仿宋" w:hint="eastAsia"/>
          <w:sz w:val="32"/>
          <w:szCs w:val="32"/>
        </w:rPr>
        <w:t>上市公司收到上交所或深交所受理或者不受理、中止或者终止审核、同意转板申请相关文书后，应当及时予以披露。</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第十六条</w:t>
      </w:r>
      <w:r>
        <w:rPr>
          <w:rFonts w:ascii="仿宋" w:eastAsia="仿宋" w:hAnsi="仿宋" w:cs="仿宋" w:hint="eastAsia"/>
          <w:b/>
          <w:sz w:val="32"/>
          <w:szCs w:val="32"/>
        </w:rPr>
        <w:t xml:space="preserve"> </w:t>
      </w:r>
      <w:r>
        <w:rPr>
          <w:rFonts w:ascii="仿宋" w:eastAsia="仿宋" w:hAnsi="仿宋" w:cs="仿宋" w:hint="eastAsia"/>
          <w:sz w:val="32"/>
          <w:szCs w:val="32"/>
        </w:rPr>
        <w:t>上市公司收到上交所或深交所同意公司转板相关文书后，应当根据本所股票终止上市有关规定，申请股票终止上市。</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上市公司收到本所同意股票终止上市相关文书后，应当及时披露，说明后续转板安排。</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第十七条</w:t>
      </w:r>
      <w:r>
        <w:rPr>
          <w:rFonts w:ascii="仿宋" w:eastAsia="仿宋" w:hAnsi="仿宋" w:cs="仿宋" w:hint="eastAsia"/>
          <w:b/>
          <w:sz w:val="32"/>
          <w:szCs w:val="32"/>
        </w:rPr>
        <w:t xml:space="preserve"> </w:t>
      </w:r>
      <w:r>
        <w:rPr>
          <w:rFonts w:ascii="仿宋" w:eastAsia="仿宋" w:hAnsi="仿宋" w:cs="仿宋" w:hint="eastAsia"/>
          <w:sz w:val="32"/>
          <w:szCs w:val="32"/>
        </w:rPr>
        <w:t>上市公司终止转板相关事宜的，应当履行相应决策程序，并及时披露。上市公司应在披露董事会决议公告同时披露关于终止转板相关事宜的提示性公告，内容至少应当包括：</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（一）董事会审议终止转板事宜的时间、审议结果等基本情况；</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（二）上市公司就转板事宜已开展的各项工作；</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（三）上市公司终止转板事宜的原因及对公司的影响；</w:t>
      </w:r>
    </w:p>
    <w:p w:rsidR="00000000" w:rsidRDefault="00000000">
      <w:pPr>
        <w:tabs>
          <w:tab w:val="center" w:pos="4474"/>
        </w:tabs>
        <w:ind w:firstLineChars="200" w:firstLine="640"/>
        <w:outlineLvl w:val="0"/>
        <w:rPr>
          <w:rFonts w:ascii="仿宋" w:eastAsia="仿宋" w:hAnsi="仿宋" w:cs="仿宋" w:hint="eastAsia"/>
          <w:sz w:val="32"/>
          <w:szCs w:val="32"/>
        </w:rPr>
      </w:pPr>
      <w:r>
        <w:rPr>
          <w:rFonts w:ascii="仿宋" w:eastAsia="仿宋" w:hAnsi="仿宋" w:cs="仿宋" w:hint="eastAsia"/>
          <w:sz w:val="32"/>
          <w:szCs w:val="32"/>
        </w:rPr>
        <w:t>（四）其他应当说明的事项。</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lastRenderedPageBreak/>
        <w:t>上市公司终止转板相关事宜的，还应当及时召开投资者说明会，向投资者介绍情况、回答问题、听取建议。上市公司董事长、总经理应当出席。上市公司应当披露董事会决议公告同时披露关于召开投资者说明会的预告公告，并在会后及时披露召开情况。</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第十八条</w:t>
      </w:r>
      <w:r>
        <w:rPr>
          <w:rFonts w:ascii="仿宋" w:eastAsia="仿宋" w:hAnsi="仿宋" w:cs="仿宋" w:hint="eastAsia"/>
          <w:b/>
          <w:sz w:val="32"/>
          <w:szCs w:val="32"/>
        </w:rPr>
        <w:t xml:space="preserve"> </w:t>
      </w:r>
      <w:r>
        <w:rPr>
          <w:rFonts w:ascii="仿宋" w:eastAsia="仿宋" w:hAnsi="仿宋" w:cs="仿宋" w:hint="eastAsia"/>
          <w:sz w:val="32"/>
          <w:szCs w:val="32"/>
        </w:rPr>
        <w:t>上市公司应当按照本所股票停复牌有关规定，申请股票于收到上交所或深交所不予受理或者终止审核相关文书的次两个交易日复牌，并披露相关公告。</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第十九条</w:t>
      </w:r>
      <w:r>
        <w:rPr>
          <w:rFonts w:ascii="仿宋" w:eastAsia="仿宋" w:hAnsi="仿宋" w:cs="仿宋" w:hint="eastAsia"/>
          <w:b/>
          <w:sz w:val="32"/>
          <w:szCs w:val="32"/>
        </w:rPr>
        <w:t xml:space="preserve"> </w:t>
      </w:r>
      <w:r>
        <w:rPr>
          <w:rFonts w:ascii="仿宋" w:eastAsia="仿宋" w:hAnsi="仿宋" w:cs="仿宋" w:hint="eastAsia"/>
          <w:sz w:val="32"/>
          <w:szCs w:val="32"/>
        </w:rPr>
        <w:t>上市公司及相关主体违反本指引及相关规定的，本所将依法依规从严打击，视情节严重对其采取工作措施、自律监管措施或实施纪律处分。</w:t>
      </w:r>
    </w:p>
    <w:p w:rsidR="00000000" w:rsidRDefault="00000000">
      <w:pPr>
        <w:tabs>
          <w:tab w:val="center" w:pos="4474"/>
        </w:tabs>
        <w:ind w:firstLineChars="200" w:firstLine="640"/>
        <w:rPr>
          <w:rFonts w:ascii="仿宋" w:eastAsia="仿宋" w:hAnsi="仿宋" w:cs="仿宋" w:hint="eastAsia"/>
          <w:sz w:val="32"/>
          <w:szCs w:val="32"/>
        </w:rPr>
      </w:pPr>
      <w:r>
        <w:rPr>
          <w:rFonts w:ascii="仿宋" w:eastAsia="仿宋" w:hAnsi="仿宋" w:cs="仿宋" w:hint="eastAsia"/>
          <w:sz w:val="32"/>
          <w:szCs w:val="32"/>
        </w:rPr>
        <w:t>本所可以根据监管需要，采取现场和非现场的方式对保荐机构遵守本指引及相关业务规则的情况进行监督检查，将检查结果报告中国证监会，并将保荐机构勤勉尽责履职情况纳入执业质量评价。</w:t>
      </w:r>
    </w:p>
    <w:p w:rsidR="00000000" w:rsidRDefault="00000000">
      <w:pPr>
        <w:tabs>
          <w:tab w:val="center" w:pos="4474"/>
        </w:tabs>
        <w:ind w:firstLineChars="200" w:firstLine="653"/>
        <w:rPr>
          <w:rFonts w:ascii="仿宋" w:eastAsia="仿宋" w:hAnsi="仿宋" w:cs="仿宋" w:hint="eastAsia"/>
          <w:sz w:val="32"/>
          <w:szCs w:val="32"/>
        </w:rPr>
      </w:pPr>
      <w:r>
        <w:rPr>
          <w:rFonts w:ascii="仿宋" w:eastAsia="仿宋" w:hAnsi="仿宋" w:cs="仿宋" w:hint="eastAsia"/>
          <w:b/>
          <w:bCs/>
          <w:sz w:val="32"/>
          <w:szCs w:val="32"/>
        </w:rPr>
        <w:t>第二十条</w:t>
      </w:r>
      <w:r>
        <w:rPr>
          <w:rFonts w:ascii="仿宋" w:eastAsia="仿宋" w:hAnsi="仿宋" w:cs="仿宋" w:hint="eastAsia"/>
          <w:b/>
          <w:sz w:val="32"/>
          <w:szCs w:val="32"/>
        </w:rPr>
        <w:t xml:space="preserve"> </w:t>
      </w:r>
      <w:r>
        <w:rPr>
          <w:rFonts w:ascii="仿宋" w:eastAsia="仿宋" w:hAnsi="仿宋" w:cs="仿宋" w:hint="eastAsia"/>
          <w:sz w:val="32"/>
          <w:szCs w:val="32"/>
        </w:rPr>
        <w:t>本指引由本所负责解释。</w:t>
      </w:r>
    </w:p>
    <w:p w:rsidR="006E2D4C" w:rsidRDefault="00000000">
      <w:pPr>
        <w:tabs>
          <w:tab w:val="center" w:pos="4474"/>
        </w:tabs>
        <w:ind w:firstLineChars="200" w:firstLine="653"/>
        <w:rPr>
          <w:rFonts w:ascii="仿宋" w:eastAsia="仿宋" w:hAnsi="仿宋" w:cs="仿宋" w:hint="eastAsia"/>
          <w:color w:val="000000"/>
          <w:sz w:val="32"/>
          <w:szCs w:val="32"/>
        </w:rPr>
      </w:pPr>
      <w:r>
        <w:rPr>
          <w:rFonts w:ascii="仿宋" w:eastAsia="仿宋" w:hAnsi="仿宋" w:cs="仿宋" w:hint="eastAsia"/>
          <w:b/>
          <w:bCs/>
          <w:sz w:val="32"/>
          <w:szCs w:val="32"/>
        </w:rPr>
        <w:t>第二十一条</w:t>
      </w:r>
      <w:r>
        <w:rPr>
          <w:rFonts w:ascii="仿宋" w:eastAsia="仿宋" w:hAnsi="仿宋" w:cs="仿宋" w:hint="eastAsia"/>
          <w:b/>
          <w:sz w:val="32"/>
          <w:szCs w:val="32"/>
        </w:rPr>
        <w:t xml:space="preserve"> </w:t>
      </w:r>
      <w:r>
        <w:rPr>
          <w:rFonts w:ascii="仿宋" w:eastAsia="仿宋" w:hAnsi="仿宋" w:cs="仿宋" w:hint="eastAsia"/>
          <w:sz w:val="32"/>
          <w:szCs w:val="32"/>
        </w:rPr>
        <w:t>本指引自发布之日起施行。</w:t>
      </w:r>
    </w:p>
    <w:sectPr w:rsidR="006E2D4C">
      <w:footerReference w:type="even" r:id="rId6"/>
      <w:footerReference w:type="default" r:id="rId7"/>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2D4C" w:rsidRDefault="006E2D4C">
      <w:r>
        <w:separator/>
      </w:r>
    </w:p>
  </w:endnote>
  <w:endnote w:type="continuationSeparator" w:id="0">
    <w:p w:rsidR="006E2D4C" w:rsidRDefault="006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panose1 w:val="020B0604020202020204"/>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8"/>
      <w:rPr>
        <w:rFonts w:ascii="宋体" w:hAnsi="宋体"/>
        <w:sz w:val="28"/>
        <w:szCs w:val="28"/>
      </w:rPr>
    </w:pPr>
    <w:r>
      <w:fldChar w:fldCharType="begin"/>
    </w:r>
    <w:r>
      <w:instrText>PAGE   \* MERGEFORMAT</w:instrText>
    </w:r>
    <w:r>
      <w:fldChar w:fldCharType="separate"/>
    </w:r>
    <w:r>
      <w:rPr>
        <w:rFonts w:ascii="宋体" w:hAnsi="宋体"/>
        <w:sz w:val="28"/>
        <w:szCs w:val="28"/>
        <w:lang w:val="zh-CN" w:eastAsia="zh-CN"/>
      </w:rPr>
      <w:t>-</w:t>
    </w:r>
    <w:r>
      <w:rPr>
        <w:rFonts w:ascii="宋体" w:hAnsi="宋体"/>
        <w:sz w:val="28"/>
        <w:szCs w:val="28"/>
        <w:lang w:val="en-US" w:eastAsia="zh-CN"/>
      </w:rPr>
      <w:t xml:space="preserve"> 2 -</w:t>
    </w:r>
    <w:r>
      <w:rPr>
        <w:rFonts w:ascii="宋体" w:hAnsi="宋体"/>
        <w:sz w:val="28"/>
        <w:szCs w:val="28"/>
      </w:rPr>
      <w:fldChar w:fldCharType="end"/>
    </w:r>
  </w:p>
  <w:p w:rsidR="00000000"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8"/>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eastAsia="zh-CN"/>
      </w:rPr>
      <w:t>-</w:t>
    </w:r>
    <w:r>
      <w:rPr>
        <w:rFonts w:ascii="宋体" w:hAnsi="宋体"/>
        <w:sz w:val="28"/>
        <w:szCs w:val="28"/>
        <w:lang w:val="en-US" w:eastAsia="zh-CN"/>
      </w:rPr>
      <w:t xml:space="preserve"> 1 </w:t>
    </w:r>
    <w:r>
      <w:rPr>
        <w:rFonts w:ascii="宋体" w:hAnsi="宋体"/>
        <w:sz w:val="28"/>
        <w:szCs w:val="28"/>
        <w:lang w:val="en-US" w:eastAsia="zh-CN"/>
      </w:rPr>
      <w:t>-</w:t>
    </w:r>
    <w:r>
      <w:rPr>
        <w:rFonts w:ascii="宋体" w:hAnsi="宋体"/>
        <w:sz w:val="28"/>
        <w:szCs w:val="28"/>
      </w:rPr>
      <w:fldChar w:fldCharType="end"/>
    </w:r>
  </w:p>
  <w:p w:rsidR="00000000"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2D4C" w:rsidRDefault="006E2D4C">
      <w:r>
        <w:separator/>
      </w:r>
    </w:p>
  </w:footnote>
  <w:footnote w:type="continuationSeparator" w:id="0">
    <w:p w:rsidR="006E2D4C" w:rsidRDefault="006E2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9"/>
    <w:rsid w:val="00011DAE"/>
    <w:rsid w:val="000248E1"/>
    <w:rsid w:val="000309B7"/>
    <w:rsid w:val="00030FC1"/>
    <w:rsid w:val="000350CC"/>
    <w:rsid w:val="0004351C"/>
    <w:rsid w:val="00050B98"/>
    <w:rsid w:val="000524AC"/>
    <w:rsid w:val="000528AF"/>
    <w:rsid w:val="00055B62"/>
    <w:rsid w:val="00071A2E"/>
    <w:rsid w:val="0007259D"/>
    <w:rsid w:val="00073BD7"/>
    <w:rsid w:val="0007419B"/>
    <w:rsid w:val="00082AF4"/>
    <w:rsid w:val="00083F1F"/>
    <w:rsid w:val="000871FB"/>
    <w:rsid w:val="00087C6F"/>
    <w:rsid w:val="000A1AEF"/>
    <w:rsid w:val="000C6909"/>
    <w:rsid w:val="000D6B8B"/>
    <w:rsid w:val="000D6DD8"/>
    <w:rsid w:val="000E30CB"/>
    <w:rsid w:val="000F41D4"/>
    <w:rsid w:val="00100CDA"/>
    <w:rsid w:val="00113D2A"/>
    <w:rsid w:val="00123C9C"/>
    <w:rsid w:val="0013107E"/>
    <w:rsid w:val="00133E60"/>
    <w:rsid w:val="00151647"/>
    <w:rsid w:val="00163BE0"/>
    <w:rsid w:val="00170A05"/>
    <w:rsid w:val="00180398"/>
    <w:rsid w:val="00185308"/>
    <w:rsid w:val="00185379"/>
    <w:rsid w:val="00192BA5"/>
    <w:rsid w:val="0019708A"/>
    <w:rsid w:val="001A54AB"/>
    <w:rsid w:val="001B5B79"/>
    <w:rsid w:val="001C3B45"/>
    <w:rsid w:val="001C4EF8"/>
    <w:rsid w:val="001C5CEA"/>
    <w:rsid w:val="001D3802"/>
    <w:rsid w:val="001D3A45"/>
    <w:rsid w:val="001D3CBC"/>
    <w:rsid w:val="001E2760"/>
    <w:rsid w:val="001F47D9"/>
    <w:rsid w:val="001F7563"/>
    <w:rsid w:val="00202686"/>
    <w:rsid w:val="0021460F"/>
    <w:rsid w:val="00214A3E"/>
    <w:rsid w:val="00225DF9"/>
    <w:rsid w:val="00225E7E"/>
    <w:rsid w:val="00226823"/>
    <w:rsid w:val="00254401"/>
    <w:rsid w:val="002578E8"/>
    <w:rsid w:val="00265D3D"/>
    <w:rsid w:val="002728D9"/>
    <w:rsid w:val="00292AF5"/>
    <w:rsid w:val="002A60E4"/>
    <w:rsid w:val="002B5C48"/>
    <w:rsid w:val="002D371D"/>
    <w:rsid w:val="002D6664"/>
    <w:rsid w:val="002E1554"/>
    <w:rsid w:val="002F310A"/>
    <w:rsid w:val="002F76E0"/>
    <w:rsid w:val="0030583E"/>
    <w:rsid w:val="00321B0B"/>
    <w:rsid w:val="003279D7"/>
    <w:rsid w:val="003317E8"/>
    <w:rsid w:val="00332070"/>
    <w:rsid w:val="003466DF"/>
    <w:rsid w:val="00361B66"/>
    <w:rsid w:val="00365380"/>
    <w:rsid w:val="00371A0D"/>
    <w:rsid w:val="00376C4C"/>
    <w:rsid w:val="00377449"/>
    <w:rsid w:val="00396504"/>
    <w:rsid w:val="003B289F"/>
    <w:rsid w:val="003C3822"/>
    <w:rsid w:val="003D2603"/>
    <w:rsid w:val="003D453E"/>
    <w:rsid w:val="003D654C"/>
    <w:rsid w:val="003E1D14"/>
    <w:rsid w:val="003E707A"/>
    <w:rsid w:val="003F3222"/>
    <w:rsid w:val="004067AF"/>
    <w:rsid w:val="0042672B"/>
    <w:rsid w:val="004351A5"/>
    <w:rsid w:val="00490C5B"/>
    <w:rsid w:val="004A21CE"/>
    <w:rsid w:val="004A3321"/>
    <w:rsid w:val="004A5645"/>
    <w:rsid w:val="004C66C3"/>
    <w:rsid w:val="004C7738"/>
    <w:rsid w:val="004D1C30"/>
    <w:rsid w:val="004D62E0"/>
    <w:rsid w:val="004F30C2"/>
    <w:rsid w:val="005050C0"/>
    <w:rsid w:val="00540F14"/>
    <w:rsid w:val="0054398D"/>
    <w:rsid w:val="00553D76"/>
    <w:rsid w:val="00585410"/>
    <w:rsid w:val="00590086"/>
    <w:rsid w:val="0059083D"/>
    <w:rsid w:val="005A3152"/>
    <w:rsid w:val="005A5045"/>
    <w:rsid w:val="005A668C"/>
    <w:rsid w:val="005B104F"/>
    <w:rsid w:val="005D139F"/>
    <w:rsid w:val="005D50C0"/>
    <w:rsid w:val="005D5AD1"/>
    <w:rsid w:val="005D7300"/>
    <w:rsid w:val="005E08CF"/>
    <w:rsid w:val="005E1ED7"/>
    <w:rsid w:val="005F5275"/>
    <w:rsid w:val="00610A0E"/>
    <w:rsid w:val="0061320C"/>
    <w:rsid w:val="006321B9"/>
    <w:rsid w:val="0064244A"/>
    <w:rsid w:val="00657AC4"/>
    <w:rsid w:val="00663653"/>
    <w:rsid w:val="006671FA"/>
    <w:rsid w:val="00683AB2"/>
    <w:rsid w:val="00685147"/>
    <w:rsid w:val="006A31C5"/>
    <w:rsid w:val="006A76FE"/>
    <w:rsid w:val="006B4388"/>
    <w:rsid w:val="006E2D4C"/>
    <w:rsid w:val="006F56B6"/>
    <w:rsid w:val="007024B9"/>
    <w:rsid w:val="00705141"/>
    <w:rsid w:val="00706D40"/>
    <w:rsid w:val="00711B39"/>
    <w:rsid w:val="00713BA9"/>
    <w:rsid w:val="00716203"/>
    <w:rsid w:val="007208A7"/>
    <w:rsid w:val="0072287B"/>
    <w:rsid w:val="007240C5"/>
    <w:rsid w:val="007249A5"/>
    <w:rsid w:val="00731B68"/>
    <w:rsid w:val="007410EE"/>
    <w:rsid w:val="00762904"/>
    <w:rsid w:val="007632FD"/>
    <w:rsid w:val="007815B8"/>
    <w:rsid w:val="00790553"/>
    <w:rsid w:val="00792EC0"/>
    <w:rsid w:val="007950E9"/>
    <w:rsid w:val="007A1184"/>
    <w:rsid w:val="007A232B"/>
    <w:rsid w:val="007A3756"/>
    <w:rsid w:val="007B0532"/>
    <w:rsid w:val="007C0B55"/>
    <w:rsid w:val="007C1C59"/>
    <w:rsid w:val="007D117C"/>
    <w:rsid w:val="007D128C"/>
    <w:rsid w:val="007D21A8"/>
    <w:rsid w:val="007F11EE"/>
    <w:rsid w:val="007F49B5"/>
    <w:rsid w:val="007F4DAB"/>
    <w:rsid w:val="00807FF5"/>
    <w:rsid w:val="008143BE"/>
    <w:rsid w:val="00814450"/>
    <w:rsid w:val="0081683C"/>
    <w:rsid w:val="00817B76"/>
    <w:rsid w:val="00817BD1"/>
    <w:rsid w:val="00825EBB"/>
    <w:rsid w:val="008344AC"/>
    <w:rsid w:val="008422A1"/>
    <w:rsid w:val="00843301"/>
    <w:rsid w:val="00846FCA"/>
    <w:rsid w:val="008475BB"/>
    <w:rsid w:val="00852C03"/>
    <w:rsid w:val="00852F51"/>
    <w:rsid w:val="00861E68"/>
    <w:rsid w:val="008655B0"/>
    <w:rsid w:val="0086771D"/>
    <w:rsid w:val="008843B7"/>
    <w:rsid w:val="00890061"/>
    <w:rsid w:val="00893308"/>
    <w:rsid w:val="008A1050"/>
    <w:rsid w:val="008A2CDE"/>
    <w:rsid w:val="008A4BF8"/>
    <w:rsid w:val="008D18B7"/>
    <w:rsid w:val="008E2CE5"/>
    <w:rsid w:val="008E2F58"/>
    <w:rsid w:val="008E6AD1"/>
    <w:rsid w:val="00903112"/>
    <w:rsid w:val="009237B2"/>
    <w:rsid w:val="00936291"/>
    <w:rsid w:val="00936AD7"/>
    <w:rsid w:val="00936C0A"/>
    <w:rsid w:val="00936D6A"/>
    <w:rsid w:val="009401D4"/>
    <w:rsid w:val="00940205"/>
    <w:rsid w:val="0096024D"/>
    <w:rsid w:val="00960947"/>
    <w:rsid w:val="009640AE"/>
    <w:rsid w:val="0097110F"/>
    <w:rsid w:val="009730C9"/>
    <w:rsid w:val="00987807"/>
    <w:rsid w:val="00994EAF"/>
    <w:rsid w:val="009B577F"/>
    <w:rsid w:val="009C3935"/>
    <w:rsid w:val="009D4C78"/>
    <w:rsid w:val="009D6265"/>
    <w:rsid w:val="009F04A6"/>
    <w:rsid w:val="009F6DB8"/>
    <w:rsid w:val="009F75B7"/>
    <w:rsid w:val="009F762E"/>
    <w:rsid w:val="00A066DF"/>
    <w:rsid w:val="00A07AE5"/>
    <w:rsid w:val="00A16F4D"/>
    <w:rsid w:val="00A27F1B"/>
    <w:rsid w:val="00A561C1"/>
    <w:rsid w:val="00A7370A"/>
    <w:rsid w:val="00A748F7"/>
    <w:rsid w:val="00A8370C"/>
    <w:rsid w:val="00A85977"/>
    <w:rsid w:val="00A86EE0"/>
    <w:rsid w:val="00A87E71"/>
    <w:rsid w:val="00A9357A"/>
    <w:rsid w:val="00A96CF1"/>
    <w:rsid w:val="00A97514"/>
    <w:rsid w:val="00AA6095"/>
    <w:rsid w:val="00AC63D5"/>
    <w:rsid w:val="00AD0D1F"/>
    <w:rsid w:val="00AD2154"/>
    <w:rsid w:val="00AD2BBF"/>
    <w:rsid w:val="00AF2AC4"/>
    <w:rsid w:val="00AF4D10"/>
    <w:rsid w:val="00AF4D43"/>
    <w:rsid w:val="00B0295C"/>
    <w:rsid w:val="00B061F0"/>
    <w:rsid w:val="00B1673B"/>
    <w:rsid w:val="00B2145E"/>
    <w:rsid w:val="00B22BDC"/>
    <w:rsid w:val="00B8260D"/>
    <w:rsid w:val="00B95927"/>
    <w:rsid w:val="00BA12CC"/>
    <w:rsid w:val="00BA34C7"/>
    <w:rsid w:val="00BA668A"/>
    <w:rsid w:val="00BB00FE"/>
    <w:rsid w:val="00BB0315"/>
    <w:rsid w:val="00BB1F94"/>
    <w:rsid w:val="00BB78FB"/>
    <w:rsid w:val="00BD547C"/>
    <w:rsid w:val="00BE22D5"/>
    <w:rsid w:val="00BE7E41"/>
    <w:rsid w:val="00BF1F65"/>
    <w:rsid w:val="00C01253"/>
    <w:rsid w:val="00C04300"/>
    <w:rsid w:val="00C04C62"/>
    <w:rsid w:val="00C202C3"/>
    <w:rsid w:val="00C21E08"/>
    <w:rsid w:val="00C27188"/>
    <w:rsid w:val="00C34515"/>
    <w:rsid w:val="00C35811"/>
    <w:rsid w:val="00C50624"/>
    <w:rsid w:val="00C56046"/>
    <w:rsid w:val="00C61919"/>
    <w:rsid w:val="00C669B1"/>
    <w:rsid w:val="00C7198A"/>
    <w:rsid w:val="00C939E6"/>
    <w:rsid w:val="00CC11B4"/>
    <w:rsid w:val="00CC3C34"/>
    <w:rsid w:val="00CD0C39"/>
    <w:rsid w:val="00CD1A6C"/>
    <w:rsid w:val="00CD5BC5"/>
    <w:rsid w:val="00CE72E2"/>
    <w:rsid w:val="00CF2669"/>
    <w:rsid w:val="00CF317B"/>
    <w:rsid w:val="00CF3424"/>
    <w:rsid w:val="00CF5500"/>
    <w:rsid w:val="00D32A2D"/>
    <w:rsid w:val="00D4070E"/>
    <w:rsid w:val="00D40DFC"/>
    <w:rsid w:val="00D435E3"/>
    <w:rsid w:val="00D45C3E"/>
    <w:rsid w:val="00D53D7D"/>
    <w:rsid w:val="00D6706B"/>
    <w:rsid w:val="00D70D85"/>
    <w:rsid w:val="00DA2CD2"/>
    <w:rsid w:val="00DB0A81"/>
    <w:rsid w:val="00DC3BB7"/>
    <w:rsid w:val="00DD0E4C"/>
    <w:rsid w:val="00DD40C7"/>
    <w:rsid w:val="00DD4B12"/>
    <w:rsid w:val="00DE772F"/>
    <w:rsid w:val="00DE7907"/>
    <w:rsid w:val="00DF2CDE"/>
    <w:rsid w:val="00DF4F1E"/>
    <w:rsid w:val="00E11E3A"/>
    <w:rsid w:val="00E174C1"/>
    <w:rsid w:val="00E34BD6"/>
    <w:rsid w:val="00E36818"/>
    <w:rsid w:val="00E42C6F"/>
    <w:rsid w:val="00E43F66"/>
    <w:rsid w:val="00E46488"/>
    <w:rsid w:val="00E53E59"/>
    <w:rsid w:val="00E63451"/>
    <w:rsid w:val="00E6599F"/>
    <w:rsid w:val="00E666BB"/>
    <w:rsid w:val="00E7744F"/>
    <w:rsid w:val="00E909E3"/>
    <w:rsid w:val="00EA1093"/>
    <w:rsid w:val="00EA6BB3"/>
    <w:rsid w:val="00EB3360"/>
    <w:rsid w:val="00EC3CA7"/>
    <w:rsid w:val="00EC7DB4"/>
    <w:rsid w:val="00ED2B08"/>
    <w:rsid w:val="00EE250B"/>
    <w:rsid w:val="00EE2BF2"/>
    <w:rsid w:val="00F0160C"/>
    <w:rsid w:val="00F23631"/>
    <w:rsid w:val="00F27E68"/>
    <w:rsid w:val="00F3262C"/>
    <w:rsid w:val="00F417CA"/>
    <w:rsid w:val="00F463C5"/>
    <w:rsid w:val="00F55883"/>
    <w:rsid w:val="00F55C9A"/>
    <w:rsid w:val="00F605F5"/>
    <w:rsid w:val="00F71DD9"/>
    <w:rsid w:val="00F73A47"/>
    <w:rsid w:val="00F86B94"/>
    <w:rsid w:val="00F979DF"/>
    <w:rsid w:val="00FA4A11"/>
    <w:rsid w:val="00FB024B"/>
    <w:rsid w:val="00FB15C4"/>
    <w:rsid w:val="00FB258F"/>
    <w:rsid w:val="00FB3395"/>
    <w:rsid w:val="00FC5443"/>
    <w:rsid w:val="00FF0355"/>
    <w:rsid w:val="00FF51B8"/>
    <w:rsid w:val="06DF44C4"/>
    <w:rsid w:val="06FD88A8"/>
    <w:rsid w:val="07A7E8BF"/>
    <w:rsid w:val="0B6AAFE4"/>
    <w:rsid w:val="0EF780F0"/>
    <w:rsid w:val="0F9A735F"/>
    <w:rsid w:val="11BF37E6"/>
    <w:rsid w:val="14BC2A1D"/>
    <w:rsid w:val="15EFB3D5"/>
    <w:rsid w:val="16F4E22E"/>
    <w:rsid w:val="174F77DB"/>
    <w:rsid w:val="1799C5CB"/>
    <w:rsid w:val="17BF1EEA"/>
    <w:rsid w:val="17FF4677"/>
    <w:rsid w:val="18C76C4B"/>
    <w:rsid w:val="1AFFC0D7"/>
    <w:rsid w:val="1BEF85FC"/>
    <w:rsid w:val="1D7F4C68"/>
    <w:rsid w:val="1DBF51D4"/>
    <w:rsid w:val="1E7AF9A0"/>
    <w:rsid w:val="1EEF8337"/>
    <w:rsid w:val="1EF85AF2"/>
    <w:rsid w:val="1F5FDCDF"/>
    <w:rsid w:val="1F6FB506"/>
    <w:rsid w:val="1F7316F5"/>
    <w:rsid w:val="1F771400"/>
    <w:rsid w:val="1F7A4507"/>
    <w:rsid w:val="1FAA7A31"/>
    <w:rsid w:val="1FAE2B27"/>
    <w:rsid w:val="1FBB7809"/>
    <w:rsid w:val="1FFB61D2"/>
    <w:rsid w:val="229F5C00"/>
    <w:rsid w:val="23BDC39F"/>
    <w:rsid w:val="23FF9525"/>
    <w:rsid w:val="27BF2FBE"/>
    <w:rsid w:val="27F32A40"/>
    <w:rsid w:val="27F7BCAE"/>
    <w:rsid w:val="28DE5212"/>
    <w:rsid w:val="2B33935F"/>
    <w:rsid w:val="2B7B4ED5"/>
    <w:rsid w:val="2B9C6B97"/>
    <w:rsid w:val="2D376CA0"/>
    <w:rsid w:val="2DCFC670"/>
    <w:rsid w:val="2DF0EAFF"/>
    <w:rsid w:val="2DFAB96B"/>
    <w:rsid w:val="2E979D52"/>
    <w:rsid w:val="2EB753D7"/>
    <w:rsid w:val="2EF92F1C"/>
    <w:rsid w:val="2F776E7A"/>
    <w:rsid w:val="2FAA45E9"/>
    <w:rsid w:val="2FE7977D"/>
    <w:rsid w:val="2FED1556"/>
    <w:rsid w:val="2FFDDC5A"/>
    <w:rsid w:val="3159829A"/>
    <w:rsid w:val="32F57A99"/>
    <w:rsid w:val="33559FB7"/>
    <w:rsid w:val="33C7C24F"/>
    <w:rsid w:val="35EF7867"/>
    <w:rsid w:val="367D5DA7"/>
    <w:rsid w:val="367FDBEA"/>
    <w:rsid w:val="373339E6"/>
    <w:rsid w:val="3772BC31"/>
    <w:rsid w:val="37D5A3B1"/>
    <w:rsid w:val="37D62EE0"/>
    <w:rsid w:val="37DBCAF3"/>
    <w:rsid w:val="37F8CC5D"/>
    <w:rsid w:val="37FB2D51"/>
    <w:rsid w:val="37FD6D49"/>
    <w:rsid w:val="3920A5D1"/>
    <w:rsid w:val="3B0DA9DC"/>
    <w:rsid w:val="3B3FF888"/>
    <w:rsid w:val="3B7F27E1"/>
    <w:rsid w:val="3BDFB559"/>
    <w:rsid w:val="3BFE3DB7"/>
    <w:rsid w:val="3BFF8AFB"/>
    <w:rsid w:val="3BFFA464"/>
    <w:rsid w:val="3C3BDAB5"/>
    <w:rsid w:val="3C7BC7EC"/>
    <w:rsid w:val="3CDDBECC"/>
    <w:rsid w:val="3D7FA4A0"/>
    <w:rsid w:val="3D97C3A6"/>
    <w:rsid w:val="3DD7919D"/>
    <w:rsid w:val="3DEEE04E"/>
    <w:rsid w:val="3DEF5FB1"/>
    <w:rsid w:val="3DFEDAB9"/>
    <w:rsid w:val="3DFFD2CA"/>
    <w:rsid w:val="3E568A6B"/>
    <w:rsid w:val="3E57CC22"/>
    <w:rsid w:val="3E7F0786"/>
    <w:rsid w:val="3E9F8749"/>
    <w:rsid w:val="3EBDAA57"/>
    <w:rsid w:val="3ECF6320"/>
    <w:rsid w:val="3EDE3284"/>
    <w:rsid w:val="3EE1A2D3"/>
    <w:rsid w:val="3EE575BA"/>
    <w:rsid w:val="3EEBE4F0"/>
    <w:rsid w:val="3EEDAA67"/>
    <w:rsid w:val="3EF35838"/>
    <w:rsid w:val="3EFEC235"/>
    <w:rsid w:val="3EFFEF9C"/>
    <w:rsid w:val="3F2D2761"/>
    <w:rsid w:val="3F2F30A4"/>
    <w:rsid w:val="3F3392C4"/>
    <w:rsid w:val="3F3BEA39"/>
    <w:rsid w:val="3F6512EB"/>
    <w:rsid w:val="3F776035"/>
    <w:rsid w:val="3F7D61A0"/>
    <w:rsid w:val="3F9F7B2C"/>
    <w:rsid w:val="3F9FBA13"/>
    <w:rsid w:val="3FB7B29F"/>
    <w:rsid w:val="3FBC8941"/>
    <w:rsid w:val="3FBF6565"/>
    <w:rsid w:val="3FCE3118"/>
    <w:rsid w:val="3FCE3B3D"/>
    <w:rsid w:val="3FCFD253"/>
    <w:rsid w:val="3FDA7BE5"/>
    <w:rsid w:val="3FDAA472"/>
    <w:rsid w:val="3FDF883F"/>
    <w:rsid w:val="3FDFAB7C"/>
    <w:rsid w:val="3FF0D919"/>
    <w:rsid w:val="3FF744E2"/>
    <w:rsid w:val="3FF7468B"/>
    <w:rsid w:val="3FF76EB7"/>
    <w:rsid w:val="3FF9876B"/>
    <w:rsid w:val="3FFD30CE"/>
    <w:rsid w:val="3FFE2AA0"/>
    <w:rsid w:val="3FFF00AA"/>
    <w:rsid w:val="3FFF4490"/>
    <w:rsid w:val="3FFFE860"/>
    <w:rsid w:val="450B9171"/>
    <w:rsid w:val="45DAC3BA"/>
    <w:rsid w:val="45FBE8AC"/>
    <w:rsid w:val="466F033F"/>
    <w:rsid w:val="47272BA7"/>
    <w:rsid w:val="4777DFEA"/>
    <w:rsid w:val="4AEDB415"/>
    <w:rsid w:val="4B4BEA6B"/>
    <w:rsid w:val="4BBD367F"/>
    <w:rsid w:val="4BC3EE13"/>
    <w:rsid w:val="4BDFD622"/>
    <w:rsid w:val="4C4F6D90"/>
    <w:rsid w:val="4C9F2EC8"/>
    <w:rsid w:val="4DAEE199"/>
    <w:rsid w:val="4DB396DA"/>
    <w:rsid w:val="4DBC4B0A"/>
    <w:rsid w:val="4DFDF157"/>
    <w:rsid w:val="4DFE777B"/>
    <w:rsid w:val="4DFF32A2"/>
    <w:rsid w:val="4F75CE59"/>
    <w:rsid w:val="4FBBE768"/>
    <w:rsid w:val="4FBF5723"/>
    <w:rsid w:val="4FDBB0AC"/>
    <w:rsid w:val="4FF40940"/>
    <w:rsid w:val="4FFDDCFD"/>
    <w:rsid w:val="4FFFE179"/>
    <w:rsid w:val="51FD2050"/>
    <w:rsid w:val="52EF0E4C"/>
    <w:rsid w:val="531623A9"/>
    <w:rsid w:val="53FD7340"/>
    <w:rsid w:val="55EF69E9"/>
    <w:rsid w:val="55FE4141"/>
    <w:rsid w:val="5737239B"/>
    <w:rsid w:val="57BE71C9"/>
    <w:rsid w:val="57DB62DC"/>
    <w:rsid w:val="57DF464A"/>
    <w:rsid w:val="57EDAB03"/>
    <w:rsid w:val="588FECE9"/>
    <w:rsid w:val="59BA29AE"/>
    <w:rsid w:val="59C76DC5"/>
    <w:rsid w:val="59DFAFE9"/>
    <w:rsid w:val="5B7F0D1A"/>
    <w:rsid w:val="5BBDFAC5"/>
    <w:rsid w:val="5BC73D27"/>
    <w:rsid w:val="5BCEF1D2"/>
    <w:rsid w:val="5BCF7366"/>
    <w:rsid w:val="5BDA2835"/>
    <w:rsid w:val="5BF55343"/>
    <w:rsid w:val="5BFB2961"/>
    <w:rsid w:val="5BFECE51"/>
    <w:rsid w:val="5BFF2567"/>
    <w:rsid w:val="5BFFC379"/>
    <w:rsid w:val="5D3C8B16"/>
    <w:rsid w:val="5D65B14B"/>
    <w:rsid w:val="5D7742EB"/>
    <w:rsid w:val="5D9D988E"/>
    <w:rsid w:val="5DBDFF34"/>
    <w:rsid w:val="5DBF03E3"/>
    <w:rsid w:val="5DDB0485"/>
    <w:rsid w:val="5DDE352E"/>
    <w:rsid w:val="5DDF3C67"/>
    <w:rsid w:val="5DEFDFC9"/>
    <w:rsid w:val="5DFDB229"/>
    <w:rsid w:val="5DFE1B28"/>
    <w:rsid w:val="5DFFBCB0"/>
    <w:rsid w:val="5E5FAE5F"/>
    <w:rsid w:val="5E7B2EDC"/>
    <w:rsid w:val="5EC72EB6"/>
    <w:rsid w:val="5EF7B19C"/>
    <w:rsid w:val="5F1CBD95"/>
    <w:rsid w:val="5F3FCE72"/>
    <w:rsid w:val="5F4509A6"/>
    <w:rsid w:val="5F5D162B"/>
    <w:rsid w:val="5F5DA72B"/>
    <w:rsid w:val="5F7B56F0"/>
    <w:rsid w:val="5F7FE704"/>
    <w:rsid w:val="5FAF707B"/>
    <w:rsid w:val="5FBBF70F"/>
    <w:rsid w:val="5FBD8A80"/>
    <w:rsid w:val="5FBF73D6"/>
    <w:rsid w:val="5FC8ED17"/>
    <w:rsid w:val="5FCF5E97"/>
    <w:rsid w:val="5FDF7174"/>
    <w:rsid w:val="5FE9D626"/>
    <w:rsid w:val="5FED2E88"/>
    <w:rsid w:val="5FEF1252"/>
    <w:rsid w:val="5FF56F6F"/>
    <w:rsid w:val="5FF7CE59"/>
    <w:rsid w:val="5FFC5F31"/>
    <w:rsid w:val="5FFD485E"/>
    <w:rsid w:val="5FFDDE45"/>
    <w:rsid w:val="5FFF491D"/>
    <w:rsid w:val="5FFF5812"/>
    <w:rsid w:val="62BBF1DD"/>
    <w:rsid w:val="63C7B768"/>
    <w:rsid w:val="63DE8E6C"/>
    <w:rsid w:val="64BEDE0C"/>
    <w:rsid w:val="65B98A4D"/>
    <w:rsid w:val="65BAD974"/>
    <w:rsid w:val="65E72579"/>
    <w:rsid w:val="65E7A407"/>
    <w:rsid w:val="65FF731F"/>
    <w:rsid w:val="66574544"/>
    <w:rsid w:val="66D78A4E"/>
    <w:rsid w:val="66DDFF06"/>
    <w:rsid w:val="674B0194"/>
    <w:rsid w:val="676B3493"/>
    <w:rsid w:val="677CE8DD"/>
    <w:rsid w:val="679F1CDD"/>
    <w:rsid w:val="67BBB311"/>
    <w:rsid w:val="67DEB900"/>
    <w:rsid w:val="67DF869A"/>
    <w:rsid w:val="67F547E6"/>
    <w:rsid w:val="67FF5797"/>
    <w:rsid w:val="697FA582"/>
    <w:rsid w:val="69EF55FD"/>
    <w:rsid w:val="69FEEAB2"/>
    <w:rsid w:val="6A8F4ACE"/>
    <w:rsid w:val="6AED3B15"/>
    <w:rsid w:val="6B1E0126"/>
    <w:rsid w:val="6B66C0A7"/>
    <w:rsid w:val="6B7F3E79"/>
    <w:rsid w:val="6B9F6988"/>
    <w:rsid w:val="6BBFC30E"/>
    <w:rsid w:val="6BCFA6FB"/>
    <w:rsid w:val="6BEF0309"/>
    <w:rsid w:val="6BEFAAF6"/>
    <w:rsid w:val="6BFF28E1"/>
    <w:rsid w:val="6BFF4B09"/>
    <w:rsid w:val="6C8F7617"/>
    <w:rsid w:val="6CAF5561"/>
    <w:rsid w:val="6DA5AE98"/>
    <w:rsid w:val="6DBBFEC3"/>
    <w:rsid w:val="6DEF68FB"/>
    <w:rsid w:val="6DF85F2B"/>
    <w:rsid w:val="6DFDC65E"/>
    <w:rsid w:val="6DFDDB46"/>
    <w:rsid w:val="6DFE7642"/>
    <w:rsid w:val="6E4F65A6"/>
    <w:rsid w:val="6E77FFB4"/>
    <w:rsid w:val="6E9CF537"/>
    <w:rsid w:val="6EDF8F42"/>
    <w:rsid w:val="6EF31926"/>
    <w:rsid w:val="6EFBC112"/>
    <w:rsid w:val="6F3F9964"/>
    <w:rsid w:val="6F58F122"/>
    <w:rsid w:val="6F5FFDD9"/>
    <w:rsid w:val="6F6F3103"/>
    <w:rsid w:val="6F7DE141"/>
    <w:rsid w:val="6F931D6F"/>
    <w:rsid w:val="6FBD3E83"/>
    <w:rsid w:val="6FBEBB0F"/>
    <w:rsid w:val="6FCD590F"/>
    <w:rsid w:val="6FCF273D"/>
    <w:rsid w:val="6FDF9D5B"/>
    <w:rsid w:val="6FEE15C4"/>
    <w:rsid w:val="6FF6DF46"/>
    <w:rsid w:val="6FF72704"/>
    <w:rsid w:val="6FF77E29"/>
    <w:rsid w:val="6FFB9871"/>
    <w:rsid w:val="6FFE0DB4"/>
    <w:rsid w:val="6FFEEAE3"/>
    <w:rsid w:val="6FFF2575"/>
    <w:rsid w:val="71B517DA"/>
    <w:rsid w:val="7262FE71"/>
    <w:rsid w:val="727F47C9"/>
    <w:rsid w:val="72FE3062"/>
    <w:rsid w:val="7366FC31"/>
    <w:rsid w:val="737863EB"/>
    <w:rsid w:val="73DDC363"/>
    <w:rsid w:val="73F31191"/>
    <w:rsid w:val="73F9AA16"/>
    <w:rsid w:val="73FBE107"/>
    <w:rsid w:val="73FFA1EE"/>
    <w:rsid w:val="743F8A32"/>
    <w:rsid w:val="746BEBF5"/>
    <w:rsid w:val="74BE1DD2"/>
    <w:rsid w:val="74DB03C9"/>
    <w:rsid w:val="7537F350"/>
    <w:rsid w:val="756F65B3"/>
    <w:rsid w:val="7576C49F"/>
    <w:rsid w:val="75B7DDDD"/>
    <w:rsid w:val="75C7D541"/>
    <w:rsid w:val="75CB5937"/>
    <w:rsid w:val="75DBFE44"/>
    <w:rsid w:val="75DE5BC4"/>
    <w:rsid w:val="75DFDD3B"/>
    <w:rsid w:val="75E7FEA7"/>
    <w:rsid w:val="75F24538"/>
    <w:rsid w:val="75FEAC7A"/>
    <w:rsid w:val="75FFBB94"/>
    <w:rsid w:val="76432C08"/>
    <w:rsid w:val="7697CCBF"/>
    <w:rsid w:val="769FBA42"/>
    <w:rsid w:val="76AAEA46"/>
    <w:rsid w:val="76AF42D4"/>
    <w:rsid w:val="76BBAC86"/>
    <w:rsid w:val="76BE3158"/>
    <w:rsid w:val="76F66492"/>
    <w:rsid w:val="76FDBBE8"/>
    <w:rsid w:val="76FEE8C7"/>
    <w:rsid w:val="76FFCD27"/>
    <w:rsid w:val="772DF6E8"/>
    <w:rsid w:val="7757D592"/>
    <w:rsid w:val="7759723E"/>
    <w:rsid w:val="775DEFBF"/>
    <w:rsid w:val="776F8D52"/>
    <w:rsid w:val="7773CE90"/>
    <w:rsid w:val="777A87CA"/>
    <w:rsid w:val="777E7FF2"/>
    <w:rsid w:val="777FFAA0"/>
    <w:rsid w:val="77A5C641"/>
    <w:rsid w:val="77AB66EF"/>
    <w:rsid w:val="77ADB286"/>
    <w:rsid w:val="77AF8B54"/>
    <w:rsid w:val="77C97996"/>
    <w:rsid w:val="77CB2C8B"/>
    <w:rsid w:val="77DBD2ED"/>
    <w:rsid w:val="77E3AAC1"/>
    <w:rsid w:val="77EC191B"/>
    <w:rsid w:val="77F85E8D"/>
    <w:rsid w:val="77F928BD"/>
    <w:rsid w:val="78EF9B86"/>
    <w:rsid w:val="78FA2613"/>
    <w:rsid w:val="7937C4A1"/>
    <w:rsid w:val="793DCFB3"/>
    <w:rsid w:val="796DC5CC"/>
    <w:rsid w:val="797E3043"/>
    <w:rsid w:val="799FD94C"/>
    <w:rsid w:val="79EF0A00"/>
    <w:rsid w:val="79EF2639"/>
    <w:rsid w:val="79EF821A"/>
    <w:rsid w:val="79F1C4FA"/>
    <w:rsid w:val="79F34389"/>
    <w:rsid w:val="79F3B838"/>
    <w:rsid w:val="79FB0DBB"/>
    <w:rsid w:val="7A79037F"/>
    <w:rsid w:val="7A9D8F09"/>
    <w:rsid w:val="7ABB5075"/>
    <w:rsid w:val="7ABDE6C7"/>
    <w:rsid w:val="7ACBFE99"/>
    <w:rsid w:val="7AD3A4C6"/>
    <w:rsid w:val="7AFFEEA5"/>
    <w:rsid w:val="7B17514F"/>
    <w:rsid w:val="7B3BF172"/>
    <w:rsid w:val="7B3F0894"/>
    <w:rsid w:val="7B67B281"/>
    <w:rsid w:val="7B776356"/>
    <w:rsid w:val="7B779101"/>
    <w:rsid w:val="7B7ABAB3"/>
    <w:rsid w:val="7B7D3252"/>
    <w:rsid w:val="7B7D719D"/>
    <w:rsid w:val="7B8F4DD3"/>
    <w:rsid w:val="7B9F8671"/>
    <w:rsid w:val="7BAF2C49"/>
    <w:rsid w:val="7BB701E6"/>
    <w:rsid w:val="7BB748D9"/>
    <w:rsid w:val="7BBF17FF"/>
    <w:rsid w:val="7BD77190"/>
    <w:rsid w:val="7BD77FC9"/>
    <w:rsid w:val="7BDCFF1E"/>
    <w:rsid w:val="7BDF2563"/>
    <w:rsid w:val="7BE384B4"/>
    <w:rsid w:val="7BEB689B"/>
    <w:rsid w:val="7BF7AA95"/>
    <w:rsid w:val="7BFB2AAE"/>
    <w:rsid w:val="7BFB764E"/>
    <w:rsid w:val="7BFB94D0"/>
    <w:rsid w:val="7BFFC0AB"/>
    <w:rsid w:val="7C7BF3FB"/>
    <w:rsid w:val="7CB3A213"/>
    <w:rsid w:val="7CBE43A3"/>
    <w:rsid w:val="7CBEF205"/>
    <w:rsid w:val="7CF2BFC1"/>
    <w:rsid w:val="7CFB1F86"/>
    <w:rsid w:val="7CFCD047"/>
    <w:rsid w:val="7CFD29DC"/>
    <w:rsid w:val="7CFF1C87"/>
    <w:rsid w:val="7D3381D3"/>
    <w:rsid w:val="7D6D7065"/>
    <w:rsid w:val="7D6F1EB4"/>
    <w:rsid w:val="7D72C734"/>
    <w:rsid w:val="7D779D62"/>
    <w:rsid w:val="7D7E9FE2"/>
    <w:rsid w:val="7D7FD89F"/>
    <w:rsid w:val="7DA18056"/>
    <w:rsid w:val="7DB7C923"/>
    <w:rsid w:val="7DBB2BBA"/>
    <w:rsid w:val="7DBB7AF4"/>
    <w:rsid w:val="7DC1E14F"/>
    <w:rsid w:val="7DCD15FF"/>
    <w:rsid w:val="7DD6481F"/>
    <w:rsid w:val="7DDF71E8"/>
    <w:rsid w:val="7DDF7218"/>
    <w:rsid w:val="7DE32E12"/>
    <w:rsid w:val="7DE7402B"/>
    <w:rsid w:val="7DEBC133"/>
    <w:rsid w:val="7DEBC48A"/>
    <w:rsid w:val="7DEDAA88"/>
    <w:rsid w:val="7DEF1D3E"/>
    <w:rsid w:val="7DF3F7DD"/>
    <w:rsid w:val="7DF7A8FE"/>
    <w:rsid w:val="7DF9E102"/>
    <w:rsid w:val="7DFD71EE"/>
    <w:rsid w:val="7DFF911B"/>
    <w:rsid w:val="7E107C98"/>
    <w:rsid w:val="7E1F2D44"/>
    <w:rsid w:val="7E7EB679"/>
    <w:rsid w:val="7E9BCB9E"/>
    <w:rsid w:val="7EAFBDBC"/>
    <w:rsid w:val="7EB2EB5A"/>
    <w:rsid w:val="7EB9EC99"/>
    <w:rsid w:val="7ECB8B0E"/>
    <w:rsid w:val="7EE3D1CE"/>
    <w:rsid w:val="7EEB8715"/>
    <w:rsid w:val="7EEE7A3E"/>
    <w:rsid w:val="7EEEE09B"/>
    <w:rsid w:val="7EEFF286"/>
    <w:rsid w:val="7EF23670"/>
    <w:rsid w:val="7EF9623B"/>
    <w:rsid w:val="7EFF1530"/>
    <w:rsid w:val="7EFF50C3"/>
    <w:rsid w:val="7EFFF194"/>
    <w:rsid w:val="7F17A3C9"/>
    <w:rsid w:val="7F26C0F8"/>
    <w:rsid w:val="7F338074"/>
    <w:rsid w:val="7F35EAA8"/>
    <w:rsid w:val="7F395AE4"/>
    <w:rsid w:val="7F3F9AC9"/>
    <w:rsid w:val="7F5B2524"/>
    <w:rsid w:val="7F5F4EC8"/>
    <w:rsid w:val="7F5F9B97"/>
    <w:rsid w:val="7F62A44F"/>
    <w:rsid w:val="7F6626D9"/>
    <w:rsid w:val="7F67172C"/>
    <w:rsid w:val="7F676C90"/>
    <w:rsid w:val="7F6F510B"/>
    <w:rsid w:val="7F6F8BE2"/>
    <w:rsid w:val="7F72C564"/>
    <w:rsid w:val="7F736FD5"/>
    <w:rsid w:val="7F77F314"/>
    <w:rsid w:val="7F7D6A61"/>
    <w:rsid w:val="7F7EE3BC"/>
    <w:rsid w:val="7F7F3206"/>
    <w:rsid w:val="7F7F4F40"/>
    <w:rsid w:val="7F7F6AF3"/>
    <w:rsid w:val="7F7F7BE2"/>
    <w:rsid w:val="7F7FC08D"/>
    <w:rsid w:val="7F977C36"/>
    <w:rsid w:val="7F9BB234"/>
    <w:rsid w:val="7F9FBEF1"/>
    <w:rsid w:val="7FABEEA1"/>
    <w:rsid w:val="7FAD3893"/>
    <w:rsid w:val="7FB521B8"/>
    <w:rsid w:val="7FBABCA2"/>
    <w:rsid w:val="7FBB7047"/>
    <w:rsid w:val="7FBDB6E6"/>
    <w:rsid w:val="7FBE30EE"/>
    <w:rsid w:val="7FBF45D7"/>
    <w:rsid w:val="7FBF466C"/>
    <w:rsid w:val="7FBF8C2D"/>
    <w:rsid w:val="7FBF9673"/>
    <w:rsid w:val="7FCB5EBE"/>
    <w:rsid w:val="7FCBC8A9"/>
    <w:rsid w:val="7FD5B2BD"/>
    <w:rsid w:val="7FDD6E98"/>
    <w:rsid w:val="7FDE17F4"/>
    <w:rsid w:val="7FDF5B35"/>
    <w:rsid w:val="7FDFCC98"/>
    <w:rsid w:val="7FE54804"/>
    <w:rsid w:val="7FE5667F"/>
    <w:rsid w:val="7FE73859"/>
    <w:rsid w:val="7FEF4725"/>
    <w:rsid w:val="7FEF95D7"/>
    <w:rsid w:val="7FEFC0D3"/>
    <w:rsid w:val="7FEFC9E2"/>
    <w:rsid w:val="7FF42C78"/>
    <w:rsid w:val="7FF63479"/>
    <w:rsid w:val="7FF6E05C"/>
    <w:rsid w:val="7FF7A1E9"/>
    <w:rsid w:val="7FF8C0C2"/>
    <w:rsid w:val="7FF922C6"/>
    <w:rsid w:val="7FF93682"/>
    <w:rsid w:val="7FF945F3"/>
    <w:rsid w:val="7FFA5374"/>
    <w:rsid w:val="7FFA7C3C"/>
    <w:rsid w:val="7FFBE407"/>
    <w:rsid w:val="7FFDFB3F"/>
    <w:rsid w:val="7FFE400B"/>
    <w:rsid w:val="7FFE8E4D"/>
    <w:rsid w:val="7FFF2274"/>
    <w:rsid w:val="7FFF42E4"/>
    <w:rsid w:val="7FFF55E8"/>
    <w:rsid w:val="7FFFAFDD"/>
    <w:rsid w:val="7FFFB443"/>
    <w:rsid w:val="7FFFD923"/>
    <w:rsid w:val="7FFFDBA7"/>
    <w:rsid w:val="86F636AC"/>
    <w:rsid w:val="87FB98A6"/>
    <w:rsid w:val="8F3F8D73"/>
    <w:rsid w:val="8FB4BA6E"/>
    <w:rsid w:val="93DD000C"/>
    <w:rsid w:val="93F6466F"/>
    <w:rsid w:val="93FBBEB5"/>
    <w:rsid w:val="95F00D64"/>
    <w:rsid w:val="96FD8A40"/>
    <w:rsid w:val="96FF3530"/>
    <w:rsid w:val="977827E0"/>
    <w:rsid w:val="97EF01FE"/>
    <w:rsid w:val="97EF5C37"/>
    <w:rsid w:val="97F624C3"/>
    <w:rsid w:val="97F78A73"/>
    <w:rsid w:val="97FF16EE"/>
    <w:rsid w:val="97FF3AA9"/>
    <w:rsid w:val="98FF7978"/>
    <w:rsid w:val="997FC2DB"/>
    <w:rsid w:val="9A0E239D"/>
    <w:rsid w:val="9C7F45C4"/>
    <w:rsid w:val="9D7DF3CD"/>
    <w:rsid w:val="9D9982C3"/>
    <w:rsid w:val="9DD99A8A"/>
    <w:rsid w:val="9DFDD943"/>
    <w:rsid w:val="9E3F9C9F"/>
    <w:rsid w:val="9EF64B4D"/>
    <w:rsid w:val="9F3FFB09"/>
    <w:rsid w:val="9F5F3D5C"/>
    <w:rsid w:val="9F77F2A7"/>
    <w:rsid w:val="9F796B1D"/>
    <w:rsid w:val="9F7B2ECE"/>
    <w:rsid w:val="9FBD2FA2"/>
    <w:rsid w:val="9FBFA390"/>
    <w:rsid w:val="9FD74CEE"/>
    <w:rsid w:val="9FE7A702"/>
    <w:rsid w:val="9FEFA2F1"/>
    <w:rsid w:val="9FF725E0"/>
    <w:rsid w:val="9FF742E8"/>
    <w:rsid w:val="A0BF509D"/>
    <w:rsid w:val="A19E8267"/>
    <w:rsid w:val="A5DDA218"/>
    <w:rsid w:val="A5FB3F62"/>
    <w:rsid w:val="A67CC4B6"/>
    <w:rsid w:val="A6BD3FA2"/>
    <w:rsid w:val="A7FEF62E"/>
    <w:rsid w:val="AA3DA308"/>
    <w:rsid w:val="AAED662F"/>
    <w:rsid w:val="AAF7D502"/>
    <w:rsid w:val="AB64F649"/>
    <w:rsid w:val="ABFFEE2C"/>
    <w:rsid w:val="ACDE62B6"/>
    <w:rsid w:val="ADC3880C"/>
    <w:rsid w:val="ADCB7210"/>
    <w:rsid w:val="ADEA7734"/>
    <w:rsid w:val="AE94FCA2"/>
    <w:rsid w:val="AEBD15CE"/>
    <w:rsid w:val="AEFBF25A"/>
    <w:rsid w:val="AF2F0EF8"/>
    <w:rsid w:val="AF37DE47"/>
    <w:rsid w:val="AF57061C"/>
    <w:rsid w:val="AF729B23"/>
    <w:rsid w:val="AFB7AD1A"/>
    <w:rsid w:val="AFCB2A71"/>
    <w:rsid w:val="AFDB3DE2"/>
    <w:rsid w:val="AFDF8AE7"/>
    <w:rsid w:val="AFFE4BCB"/>
    <w:rsid w:val="AFFEC918"/>
    <w:rsid w:val="AFFF48FB"/>
    <w:rsid w:val="AFFF5064"/>
    <w:rsid w:val="AFFF5087"/>
    <w:rsid w:val="B0CE26FD"/>
    <w:rsid w:val="B27EDE87"/>
    <w:rsid w:val="B377DF89"/>
    <w:rsid w:val="B3BA09BD"/>
    <w:rsid w:val="B3BFBB7A"/>
    <w:rsid w:val="B3F738BA"/>
    <w:rsid w:val="B3FB9E94"/>
    <w:rsid w:val="B54BA290"/>
    <w:rsid w:val="B5D7BEBF"/>
    <w:rsid w:val="B64D6F0F"/>
    <w:rsid w:val="B65E05AB"/>
    <w:rsid w:val="B6EBBB72"/>
    <w:rsid w:val="B6FDBD1E"/>
    <w:rsid w:val="B737F0B4"/>
    <w:rsid w:val="B73F9321"/>
    <w:rsid w:val="B77507C8"/>
    <w:rsid w:val="B77BB403"/>
    <w:rsid w:val="B7BE8757"/>
    <w:rsid w:val="B7D6E685"/>
    <w:rsid w:val="B7DF529D"/>
    <w:rsid w:val="B7FCA1DF"/>
    <w:rsid w:val="B7FFA65B"/>
    <w:rsid w:val="B9EF1B17"/>
    <w:rsid w:val="B9FFC2EC"/>
    <w:rsid w:val="BAF57111"/>
    <w:rsid w:val="BB3FA9C7"/>
    <w:rsid w:val="BB77A93F"/>
    <w:rsid w:val="BBBFFF86"/>
    <w:rsid w:val="BBD78C93"/>
    <w:rsid w:val="BBF7B1C5"/>
    <w:rsid w:val="BBFD0639"/>
    <w:rsid w:val="BCCE19BA"/>
    <w:rsid w:val="BCDAD6CC"/>
    <w:rsid w:val="BCFF6C6B"/>
    <w:rsid w:val="BCFFCF59"/>
    <w:rsid w:val="BD3F94C4"/>
    <w:rsid w:val="BD5D482E"/>
    <w:rsid w:val="BD666754"/>
    <w:rsid w:val="BD6DEDE4"/>
    <w:rsid w:val="BD71AAD8"/>
    <w:rsid w:val="BD73DDE4"/>
    <w:rsid w:val="BD7FB569"/>
    <w:rsid w:val="BDA3CCD3"/>
    <w:rsid w:val="BDBC1D59"/>
    <w:rsid w:val="BDBFED82"/>
    <w:rsid w:val="BDDDCB32"/>
    <w:rsid w:val="BDEEFD65"/>
    <w:rsid w:val="BDF3526F"/>
    <w:rsid w:val="BDF3EAA8"/>
    <w:rsid w:val="BDFB6CAD"/>
    <w:rsid w:val="BDFBC5D2"/>
    <w:rsid w:val="BDFD08D8"/>
    <w:rsid w:val="BDFD530C"/>
    <w:rsid w:val="BDFE1AC3"/>
    <w:rsid w:val="BE34367F"/>
    <w:rsid w:val="BE674A80"/>
    <w:rsid w:val="BEAF0ED2"/>
    <w:rsid w:val="BEDFE441"/>
    <w:rsid w:val="BEF35249"/>
    <w:rsid w:val="BF5FA583"/>
    <w:rsid w:val="BF5FE5D9"/>
    <w:rsid w:val="BF6D8213"/>
    <w:rsid w:val="BF6DAF69"/>
    <w:rsid w:val="BFB5A8F4"/>
    <w:rsid w:val="BFBAAEB8"/>
    <w:rsid w:val="BFBC21D1"/>
    <w:rsid w:val="BFBC371F"/>
    <w:rsid w:val="BFBD2B4F"/>
    <w:rsid w:val="BFBE50D4"/>
    <w:rsid w:val="BFBF7371"/>
    <w:rsid w:val="BFBFCE24"/>
    <w:rsid w:val="BFC7D1B9"/>
    <w:rsid w:val="BFDFD080"/>
    <w:rsid w:val="BFE37FF1"/>
    <w:rsid w:val="BFEF0D08"/>
    <w:rsid w:val="BFEF359E"/>
    <w:rsid w:val="BFF1C604"/>
    <w:rsid w:val="BFFAB580"/>
    <w:rsid w:val="BFFEDD73"/>
    <w:rsid w:val="C2FFBD4D"/>
    <w:rsid w:val="C3F9C177"/>
    <w:rsid w:val="C48FCDD6"/>
    <w:rsid w:val="C5FF68C5"/>
    <w:rsid w:val="C6B344F9"/>
    <w:rsid w:val="C77C5568"/>
    <w:rsid w:val="C7D47AE9"/>
    <w:rsid w:val="C7D9A37E"/>
    <w:rsid w:val="C7E82AD8"/>
    <w:rsid w:val="C9277A6A"/>
    <w:rsid w:val="CAE61BBE"/>
    <w:rsid w:val="CB77111E"/>
    <w:rsid w:val="CBADED6E"/>
    <w:rsid w:val="CDFF04AF"/>
    <w:rsid w:val="CDFFD8B8"/>
    <w:rsid w:val="CDFFF096"/>
    <w:rsid w:val="CEFF6D9D"/>
    <w:rsid w:val="CF3CD495"/>
    <w:rsid w:val="CF3FD085"/>
    <w:rsid w:val="CF5B769E"/>
    <w:rsid w:val="CF6D8A1A"/>
    <w:rsid w:val="CFF5D98F"/>
    <w:rsid w:val="CFFA0B21"/>
    <w:rsid w:val="CFFF8585"/>
    <w:rsid w:val="D1D8CB5A"/>
    <w:rsid w:val="D1DF3E70"/>
    <w:rsid w:val="D1F45F03"/>
    <w:rsid w:val="D1FB9FF5"/>
    <w:rsid w:val="D2860C18"/>
    <w:rsid w:val="D37D354F"/>
    <w:rsid w:val="D39F463F"/>
    <w:rsid w:val="D3CF447F"/>
    <w:rsid w:val="D3FFE344"/>
    <w:rsid w:val="D4EFB4E8"/>
    <w:rsid w:val="D5DF32A7"/>
    <w:rsid w:val="D6A627F5"/>
    <w:rsid w:val="D6BF4B77"/>
    <w:rsid w:val="D6D7F037"/>
    <w:rsid w:val="D6FC63C8"/>
    <w:rsid w:val="D75D546C"/>
    <w:rsid w:val="D76F6EFE"/>
    <w:rsid w:val="D77F84C1"/>
    <w:rsid w:val="D7AF4D17"/>
    <w:rsid w:val="D7EE071B"/>
    <w:rsid w:val="D7F78937"/>
    <w:rsid w:val="D7FE53D5"/>
    <w:rsid w:val="D9DB6FB7"/>
    <w:rsid w:val="D9F7DEE2"/>
    <w:rsid w:val="D9FEB168"/>
    <w:rsid w:val="DA7FC502"/>
    <w:rsid w:val="DACA5ACE"/>
    <w:rsid w:val="DAEBD394"/>
    <w:rsid w:val="DAFA0FAA"/>
    <w:rsid w:val="DB2C2E1C"/>
    <w:rsid w:val="DB2FD7C0"/>
    <w:rsid w:val="DBB6CA03"/>
    <w:rsid w:val="DBBCC5C8"/>
    <w:rsid w:val="DBC7376C"/>
    <w:rsid w:val="DBCEF984"/>
    <w:rsid w:val="DBDB1FDA"/>
    <w:rsid w:val="DBF9DFE8"/>
    <w:rsid w:val="DBFB6773"/>
    <w:rsid w:val="DBFF8285"/>
    <w:rsid w:val="DC75FFCC"/>
    <w:rsid w:val="DCBB0262"/>
    <w:rsid w:val="DCFF50EA"/>
    <w:rsid w:val="DD05CF32"/>
    <w:rsid w:val="DD4766C9"/>
    <w:rsid w:val="DD554F5B"/>
    <w:rsid w:val="DD6F3B0B"/>
    <w:rsid w:val="DD7F8DB7"/>
    <w:rsid w:val="DD8DE40C"/>
    <w:rsid w:val="DDB182C2"/>
    <w:rsid w:val="DDBCED15"/>
    <w:rsid w:val="DDBEB96D"/>
    <w:rsid w:val="DDDD1525"/>
    <w:rsid w:val="DDDF04D7"/>
    <w:rsid w:val="DDDF5024"/>
    <w:rsid w:val="DDFD565E"/>
    <w:rsid w:val="DDFDD08C"/>
    <w:rsid w:val="DDFF3487"/>
    <w:rsid w:val="DDFFFEA4"/>
    <w:rsid w:val="DE5F6CEB"/>
    <w:rsid w:val="DE7A35DD"/>
    <w:rsid w:val="DEAE2092"/>
    <w:rsid w:val="DEEB4320"/>
    <w:rsid w:val="DEEEF8CD"/>
    <w:rsid w:val="DF255780"/>
    <w:rsid w:val="DF2F4437"/>
    <w:rsid w:val="DF5E01F5"/>
    <w:rsid w:val="DF5E1956"/>
    <w:rsid w:val="DF6FC5A3"/>
    <w:rsid w:val="DF7E5D82"/>
    <w:rsid w:val="DF8F9E28"/>
    <w:rsid w:val="DF9F9D29"/>
    <w:rsid w:val="DFAB33CF"/>
    <w:rsid w:val="DFBB3621"/>
    <w:rsid w:val="DFBF7647"/>
    <w:rsid w:val="DFBF9BEA"/>
    <w:rsid w:val="DFCEBEAB"/>
    <w:rsid w:val="DFD93D17"/>
    <w:rsid w:val="DFDDB2B2"/>
    <w:rsid w:val="DFDE9794"/>
    <w:rsid w:val="DFDF9A20"/>
    <w:rsid w:val="DFE3F29E"/>
    <w:rsid w:val="DFEB93EE"/>
    <w:rsid w:val="DFEDA189"/>
    <w:rsid w:val="DFEF89FD"/>
    <w:rsid w:val="DFF1CB00"/>
    <w:rsid w:val="DFF48B1A"/>
    <w:rsid w:val="DFF5EF6C"/>
    <w:rsid w:val="DFFB6AE2"/>
    <w:rsid w:val="DFFCE3B2"/>
    <w:rsid w:val="DFFFA0ED"/>
    <w:rsid w:val="DFFFC621"/>
    <w:rsid w:val="E1D2DD6F"/>
    <w:rsid w:val="E27FCF50"/>
    <w:rsid w:val="E3FF17BA"/>
    <w:rsid w:val="E47F40E6"/>
    <w:rsid w:val="E4BB5213"/>
    <w:rsid w:val="E4FF5AED"/>
    <w:rsid w:val="E57D17F8"/>
    <w:rsid w:val="E5AC8970"/>
    <w:rsid w:val="E5B6CB0F"/>
    <w:rsid w:val="E5EF64CE"/>
    <w:rsid w:val="E5F1FAA3"/>
    <w:rsid w:val="E5F6C19B"/>
    <w:rsid w:val="E6FBD6C4"/>
    <w:rsid w:val="E70DA5B2"/>
    <w:rsid w:val="E74D859A"/>
    <w:rsid w:val="E75390F3"/>
    <w:rsid w:val="E7BBAB8B"/>
    <w:rsid w:val="E7BF16D8"/>
    <w:rsid w:val="E7BF9BB0"/>
    <w:rsid w:val="E7DB37FE"/>
    <w:rsid w:val="E7F63337"/>
    <w:rsid w:val="E7FBA225"/>
    <w:rsid w:val="E7FE5EF4"/>
    <w:rsid w:val="E7FF6B87"/>
    <w:rsid w:val="E8EFB2E0"/>
    <w:rsid w:val="E9FBF19D"/>
    <w:rsid w:val="EA5F61A7"/>
    <w:rsid w:val="EAF77916"/>
    <w:rsid w:val="EB7EED84"/>
    <w:rsid w:val="EBACE787"/>
    <w:rsid w:val="EBDB2108"/>
    <w:rsid w:val="EBDB6DC2"/>
    <w:rsid w:val="EC6F6DC1"/>
    <w:rsid w:val="EC9B96E9"/>
    <w:rsid w:val="ECA62245"/>
    <w:rsid w:val="ECBF51BB"/>
    <w:rsid w:val="ECFF8636"/>
    <w:rsid w:val="ED733835"/>
    <w:rsid w:val="EDBC0FA2"/>
    <w:rsid w:val="EDBF179A"/>
    <w:rsid w:val="EDD523C7"/>
    <w:rsid w:val="EDEE5260"/>
    <w:rsid w:val="EDFDADBF"/>
    <w:rsid w:val="EDFF4C15"/>
    <w:rsid w:val="EE39C9EE"/>
    <w:rsid w:val="EE3F8EEC"/>
    <w:rsid w:val="EE5F6537"/>
    <w:rsid w:val="EED7C134"/>
    <w:rsid w:val="EEE51A87"/>
    <w:rsid w:val="EEEFD23B"/>
    <w:rsid w:val="EEF14F33"/>
    <w:rsid w:val="EEF58E52"/>
    <w:rsid w:val="EEF76725"/>
    <w:rsid w:val="EEFB70CD"/>
    <w:rsid w:val="EEFFDDD9"/>
    <w:rsid w:val="EF3FFF4B"/>
    <w:rsid w:val="EF691E35"/>
    <w:rsid w:val="EF74CA88"/>
    <w:rsid w:val="EF7BD7D1"/>
    <w:rsid w:val="EF7E9959"/>
    <w:rsid w:val="EF9B432D"/>
    <w:rsid w:val="EFADF103"/>
    <w:rsid w:val="EFBA7708"/>
    <w:rsid w:val="EFBBF672"/>
    <w:rsid w:val="EFBDB1FD"/>
    <w:rsid w:val="EFBE9EAA"/>
    <w:rsid w:val="EFD55DC9"/>
    <w:rsid w:val="EFDB42DA"/>
    <w:rsid w:val="EFDFBE31"/>
    <w:rsid w:val="EFEECF4D"/>
    <w:rsid w:val="EFF70777"/>
    <w:rsid w:val="EFFBFCC4"/>
    <w:rsid w:val="EFFF293C"/>
    <w:rsid w:val="EFFFC70A"/>
    <w:rsid w:val="F0BF99E3"/>
    <w:rsid w:val="F1F386F0"/>
    <w:rsid w:val="F1F3BD40"/>
    <w:rsid w:val="F2B7B8BF"/>
    <w:rsid w:val="F2DBEB67"/>
    <w:rsid w:val="F2EBB55C"/>
    <w:rsid w:val="F2FEC913"/>
    <w:rsid w:val="F2FF0E23"/>
    <w:rsid w:val="F31F3330"/>
    <w:rsid w:val="F337CF78"/>
    <w:rsid w:val="F35F3F89"/>
    <w:rsid w:val="F36F639F"/>
    <w:rsid w:val="F3BF5840"/>
    <w:rsid w:val="F3BFEB4C"/>
    <w:rsid w:val="F3DDB29E"/>
    <w:rsid w:val="F3DF3144"/>
    <w:rsid w:val="F3DF5DB0"/>
    <w:rsid w:val="F3EFFBBD"/>
    <w:rsid w:val="F3FF75C5"/>
    <w:rsid w:val="F53FDE23"/>
    <w:rsid w:val="F57F2246"/>
    <w:rsid w:val="F5BA87B8"/>
    <w:rsid w:val="F5DF1477"/>
    <w:rsid w:val="F5E571E4"/>
    <w:rsid w:val="F5FD9D9A"/>
    <w:rsid w:val="F5FFACA5"/>
    <w:rsid w:val="F61F80B4"/>
    <w:rsid w:val="F63121FC"/>
    <w:rsid w:val="F67FA044"/>
    <w:rsid w:val="F6D109C6"/>
    <w:rsid w:val="F6E5AC7E"/>
    <w:rsid w:val="F6E64AFC"/>
    <w:rsid w:val="F6EF288A"/>
    <w:rsid w:val="F6F53AA5"/>
    <w:rsid w:val="F6FB98F0"/>
    <w:rsid w:val="F6FF6C2C"/>
    <w:rsid w:val="F72B61E2"/>
    <w:rsid w:val="F73B823F"/>
    <w:rsid w:val="F745F24F"/>
    <w:rsid w:val="F75E0A49"/>
    <w:rsid w:val="F769CF7F"/>
    <w:rsid w:val="F76E5000"/>
    <w:rsid w:val="F76F50A2"/>
    <w:rsid w:val="F77741F9"/>
    <w:rsid w:val="F77E2460"/>
    <w:rsid w:val="F79F7801"/>
    <w:rsid w:val="F79F9256"/>
    <w:rsid w:val="F7BD2D69"/>
    <w:rsid w:val="F7BF114B"/>
    <w:rsid w:val="F7C51218"/>
    <w:rsid w:val="F7CD017C"/>
    <w:rsid w:val="F7DB80C2"/>
    <w:rsid w:val="F7DB8662"/>
    <w:rsid w:val="F7DC8AD8"/>
    <w:rsid w:val="F7DF3730"/>
    <w:rsid w:val="F7EFAD54"/>
    <w:rsid w:val="F7EFF974"/>
    <w:rsid w:val="F7F6C1F7"/>
    <w:rsid w:val="F7F6F0E1"/>
    <w:rsid w:val="F7FB668C"/>
    <w:rsid w:val="F7FD8431"/>
    <w:rsid w:val="F7FDCC53"/>
    <w:rsid w:val="F7FDEFDF"/>
    <w:rsid w:val="F7FFCD9A"/>
    <w:rsid w:val="F87D2B86"/>
    <w:rsid w:val="F8FC7D1C"/>
    <w:rsid w:val="F9E8D576"/>
    <w:rsid w:val="F9EA271A"/>
    <w:rsid w:val="F9F6C0FF"/>
    <w:rsid w:val="F9F96472"/>
    <w:rsid w:val="F9FB7684"/>
    <w:rsid w:val="F9FE334C"/>
    <w:rsid w:val="F9FF196C"/>
    <w:rsid w:val="F9FF5505"/>
    <w:rsid w:val="FA5E406F"/>
    <w:rsid w:val="FA8E2BAB"/>
    <w:rsid w:val="FA9FCAF4"/>
    <w:rsid w:val="FABAB6C5"/>
    <w:rsid w:val="FADF9842"/>
    <w:rsid w:val="FAE32A8D"/>
    <w:rsid w:val="FAED026A"/>
    <w:rsid w:val="FAF72554"/>
    <w:rsid w:val="FAFF2528"/>
    <w:rsid w:val="FAFF2E0C"/>
    <w:rsid w:val="FAFFF026"/>
    <w:rsid w:val="FB0D542B"/>
    <w:rsid w:val="FB37A501"/>
    <w:rsid w:val="FB6F9EBE"/>
    <w:rsid w:val="FB7BB3AA"/>
    <w:rsid w:val="FBAF69F0"/>
    <w:rsid w:val="FBBBFDA1"/>
    <w:rsid w:val="FBCD287F"/>
    <w:rsid w:val="FBDB8ECB"/>
    <w:rsid w:val="FBDD9135"/>
    <w:rsid w:val="FBDE195F"/>
    <w:rsid w:val="FBDFBD87"/>
    <w:rsid w:val="FBE61B4E"/>
    <w:rsid w:val="FBEA951C"/>
    <w:rsid w:val="FBED744E"/>
    <w:rsid w:val="FBEDB87C"/>
    <w:rsid w:val="FBF61453"/>
    <w:rsid w:val="FBF71BD4"/>
    <w:rsid w:val="FBFAD04F"/>
    <w:rsid w:val="FBFB264A"/>
    <w:rsid w:val="FBFC5500"/>
    <w:rsid w:val="FBFCF699"/>
    <w:rsid w:val="FBFDC10F"/>
    <w:rsid w:val="FBFEA10C"/>
    <w:rsid w:val="FBFF5692"/>
    <w:rsid w:val="FBFFF0B0"/>
    <w:rsid w:val="FC5F396A"/>
    <w:rsid w:val="FC663BB4"/>
    <w:rsid w:val="FCAED59B"/>
    <w:rsid w:val="FCB9DC36"/>
    <w:rsid w:val="FCBB676A"/>
    <w:rsid w:val="FCCBA007"/>
    <w:rsid w:val="FCDE9106"/>
    <w:rsid w:val="FCE72BED"/>
    <w:rsid w:val="FCEB85F5"/>
    <w:rsid w:val="FCEFC3B0"/>
    <w:rsid w:val="FCEFD2CE"/>
    <w:rsid w:val="FCFB15A9"/>
    <w:rsid w:val="FD6E6B01"/>
    <w:rsid w:val="FD7F5A42"/>
    <w:rsid w:val="FD7FC405"/>
    <w:rsid w:val="FDB2A5DC"/>
    <w:rsid w:val="FDBB87D5"/>
    <w:rsid w:val="FDDF2983"/>
    <w:rsid w:val="FDDFA19A"/>
    <w:rsid w:val="FDE61CEC"/>
    <w:rsid w:val="FDF9EDCE"/>
    <w:rsid w:val="FDFB7813"/>
    <w:rsid w:val="FDFD2BEF"/>
    <w:rsid w:val="FDFD4482"/>
    <w:rsid w:val="FDFDF6EA"/>
    <w:rsid w:val="FDFF0551"/>
    <w:rsid w:val="FDFF29A0"/>
    <w:rsid w:val="FDFF6C6D"/>
    <w:rsid w:val="FDFF8E6B"/>
    <w:rsid w:val="FDFF9D41"/>
    <w:rsid w:val="FDFFF962"/>
    <w:rsid w:val="FE398282"/>
    <w:rsid w:val="FE6E6413"/>
    <w:rsid w:val="FE7FE695"/>
    <w:rsid w:val="FE9E4FE0"/>
    <w:rsid w:val="FEADF0D9"/>
    <w:rsid w:val="FEB5D719"/>
    <w:rsid w:val="FEB75073"/>
    <w:rsid w:val="FEBA2EE1"/>
    <w:rsid w:val="FEBB35C6"/>
    <w:rsid w:val="FECF1875"/>
    <w:rsid w:val="FEDDC1DA"/>
    <w:rsid w:val="FEDEE197"/>
    <w:rsid w:val="FEEEDADD"/>
    <w:rsid w:val="FEEF5959"/>
    <w:rsid w:val="FEF763AD"/>
    <w:rsid w:val="FEFBF7D0"/>
    <w:rsid w:val="FEFF1067"/>
    <w:rsid w:val="FEFF24B1"/>
    <w:rsid w:val="FEFF8D99"/>
    <w:rsid w:val="FEFFA122"/>
    <w:rsid w:val="FF3B3D76"/>
    <w:rsid w:val="FF3E3552"/>
    <w:rsid w:val="FF49FD09"/>
    <w:rsid w:val="FF4CCCB4"/>
    <w:rsid w:val="FF573204"/>
    <w:rsid w:val="FF577BD9"/>
    <w:rsid w:val="FF57EB0F"/>
    <w:rsid w:val="FF59D02A"/>
    <w:rsid w:val="FF5B052D"/>
    <w:rsid w:val="FF676FA8"/>
    <w:rsid w:val="FF6B09D0"/>
    <w:rsid w:val="FF7337CE"/>
    <w:rsid w:val="FF7511A7"/>
    <w:rsid w:val="FF770F10"/>
    <w:rsid w:val="FF773FF4"/>
    <w:rsid w:val="FF777955"/>
    <w:rsid w:val="FF7B3604"/>
    <w:rsid w:val="FF7F4936"/>
    <w:rsid w:val="FF9F362F"/>
    <w:rsid w:val="FF9FD34E"/>
    <w:rsid w:val="FFAB22C1"/>
    <w:rsid w:val="FFB48931"/>
    <w:rsid w:val="FFB768FD"/>
    <w:rsid w:val="FFBB9885"/>
    <w:rsid w:val="FFBF4EA4"/>
    <w:rsid w:val="FFBF52ED"/>
    <w:rsid w:val="FFBF9BCC"/>
    <w:rsid w:val="FFBFAF9A"/>
    <w:rsid w:val="FFCF07E5"/>
    <w:rsid w:val="FFCF7BCC"/>
    <w:rsid w:val="FFD5DA82"/>
    <w:rsid w:val="FFDA1BD6"/>
    <w:rsid w:val="FFDB55A7"/>
    <w:rsid w:val="FFDD397B"/>
    <w:rsid w:val="FFDDB48F"/>
    <w:rsid w:val="FFDEBE4F"/>
    <w:rsid w:val="FFDF7BC3"/>
    <w:rsid w:val="FFE36854"/>
    <w:rsid w:val="FFE67B04"/>
    <w:rsid w:val="FFE710ED"/>
    <w:rsid w:val="FFEE3B9A"/>
    <w:rsid w:val="FFEF80CB"/>
    <w:rsid w:val="FFF36B8B"/>
    <w:rsid w:val="FFF5896C"/>
    <w:rsid w:val="FFF666BC"/>
    <w:rsid w:val="FFF73D22"/>
    <w:rsid w:val="FFF8947A"/>
    <w:rsid w:val="FFFA6409"/>
    <w:rsid w:val="FFFD603D"/>
    <w:rsid w:val="FFFDABFE"/>
    <w:rsid w:val="FFFED291"/>
    <w:rsid w:val="FFFF6118"/>
    <w:rsid w:val="FFFF62EC"/>
    <w:rsid w:val="FFFF762F"/>
    <w:rsid w:val="FFFFA697"/>
    <w:rsid w:val="FFFFAC54"/>
    <w:rsid w:val="FFFFB08B"/>
    <w:rsid w:val="FFFFD546"/>
    <w:rsid w:val="FFFFE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67F27-E212-834D-AD5F-A054C0D1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character" w:customStyle="1" w:styleId="a4">
    <w:name w:val="批注文字 字符"/>
    <w:link w:val="a3"/>
    <w:uiPriority w:val="99"/>
    <w:semiHidden/>
    <w:qFormat/>
  </w:style>
  <w:style w:type="paragraph" w:styleId="a5">
    <w:name w:val="Body Text"/>
    <w:basedOn w:val="a"/>
    <w:qFormat/>
    <w:rPr>
      <w:rFonts w:ascii="Times New Roman" w:hAnsi="Times New Roman"/>
      <w:sz w:val="28"/>
      <w:szCs w:val="20"/>
      <w:lang w:val="zh-CN"/>
    </w:rPr>
  </w:style>
  <w:style w:type="paragraph" w:styleId="a6">
    <w:name w:val="Balloon Text"/>
    <w:basedOn w:val="a"/>
    <w:link w:val="a7"/>
    <w:uiPriority w:val="99"/>
    <w:unhideWhenUsed/>
    <w:qFormat/>
    <w:rPr>
      <w:sz w:val="18"/>
      <w:szCs w:val="18"/>
    </w:rPr>
  </w:style>
  <w:style w:type="character" w:customStyle="1" w:styleId="a7">
    <w:name w:val="批注框文本 字符"/>
    <w:link w:val="a6"/>
    <w:uiPriority w:val="99"/>
    <w:semiHidden/>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character" w:customStyle="1" w:styleId="a9">
    <w:name w:val="页脚 字符"/>
    <w:link w:val="a8"/>
    <w:uiPriority w:val="99"/>
    <w:qFormat/>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qFormat/>
    <w:rPr>
      <w:sz w:val="18"/>
      <w:szCs w:val="18"/>
    </w:rPr>
  </w:style>
  <w:style w:type="paragraph" w:styleId="ac">
    <w:name w:val="annotation subject"/>
    <w:basedOn w:val="a3"/>
    <w:next w:val="a3"/>
    <w:link w:val="ad"/>
    <w:uiPriority w:val="99"/>
    <w:unhideWhenUsed/>
    <w:qFormat/>
    <w:rPr>
      <w:b/>
      <w:bCs/>
    </w:rPr>
  </w:style>
  <w:style w:type="character" w:customStyle="1" w:styleId="ad">
    <w:name w:val="批注主题 字符"/>
    <w:link w:val="ac"/>
    <w:uiPriority w:val="99"/>
    <w:semiHidden/>
    <w:qFormat/>
    <w:rPr>
      <w:b/>
      <w:bCs/>
    </w:rPr>
  </w:style>
  <w:style w:type="character" w:styleId="ae">
    <w:name w:val="annotation reference"/>
    <w:uiPriority w:val="99"/>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dc:creator>
  <cp:keywords/>
  <cp:lastModifiedBy>Sven LI</cp:lastModifiedBy>
  <cp:revision>2</cp:revision>
  <cp:lastPrinted>2023-10-08T18:16:00Z</cp:lastPrinted>
  <dcterms:created xsi:type="dcterms:W3CDTF">2025-04-02T14:42:00Z</dcterms:created>
  <dcterms:modified xsi:type="dcterms:W3CDTF">2025-04-02T14:42:00Z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0AAD69795C83C0027FF8076524653DDF</vt:lpwstr>
  </property>
</Properties>
</file>