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WellCare Clinics &amp; Laboratory</w:t>
      </w:r>
    </w:p>
    <w:p>
      <w:pPr>
        <w:spacing w:after="120"/>
      </w:pPr>
      <w:r>
        <w:rPr>
          <w:b/>
          <w:i w:val="0"/>
          <w:sz w:val="24"/>
        </w:rPr>
        <w:t>Patient Record Management System with Appointment Scheduling</w:t>
      </w:r>
    </w:p>
    <w:p>
      <w:pPr>
        <w:spacing w:after="200"/>
      </w:pPr>
      <w:r>
        <w:rPr>
          <w:b/>
          <w:i w:val="0"/>
          <w:sz w:val="24"/>
        </w:rPr>
        <w:t>Change and Alignment Report</w:t>
      </w:r>
    </w:p>
    <w:tbl>
      <w:tblPr>
        <w:tblStyle w:val="TableGrid"/>
        <w:tblW w:type="auto" w:w="0"/>
        <w:jc w:val="left"/>
        <w:tblLook w:firstColumn="1" w:firstRow="1" w:lastColumn="0" w:lastRow="0" w:noHBand="0" w:noVBand="1" w:val="04A0"/>
      </w:tblPr>
      <w:tblGrid>
        <w:gridCol w:w="4896"/>
        <w:gridCol w:w="4896"/>
      </w:tblGrid>
      <w:tr>
        <w:tc>
          <w:tcPr>
            <w:tcW w:type="dxa" w:w="2448"/>
          </w:tcPr>
          <w:p>
            <w:r/>
            <w:r>
              <w:rPr>
                <w:b/>
                <w:sz w:val="19"/>
              </w:rPr>
              <w:t>Field</w:t>
            </w:r>
          </w:p>
        </w:tc>
        <w:tc>
          <w:tcPr>
            <w:tcW w:type="dxa" w:w="7200"/>
          </w:tcPr>
          <w:p>
            <w:r/>
            <w:r>
              <w:rPr>
                <w:b/>
                <w:sz w:val="19"/>
              </w:rPr>
              <w:t>Value</w:t>
            </w:r>
          </w:p>
        </w:tc>
      </w:tr>
      <w:tr>
        <w:tc>
          <w:tcPr>
            <w:tcW w:type="dxa" w:w="2448"/>
          </w:tcPr>
          <w:p>
            <w:r/>
            <w:r>
              <w:rPr>
                <w:sz w:val="19"/>
              </w:rPr>
              <w:t>Report date</w:t>
            </w:r>
          </w:p>
        </w:tc>
        <w:tc>
          <w:tcPr>
            <w:tcW w:type="dxa" w:w="7200"/>
          </w:tcPr>
          <w:p>
            <w:r/>
            <w:r>
              <w:rPr>
                <w:sz w:val="19"/>
              </w:rPr>
              <w:t>13 September 2026</w:t>
            </w:r>
          </w:p>
        </w:tc>
      </w:tr>
      <w:tr>
        <w:tc>
          <w:tcPr>
            <w:tcW w:type="dxa" w:w="2448"/>
          </w:tcPr>
          <w:p>
            <w:r/>
            <w:r>
              <w:rPr>
                <w:sz w:val="19"/>
              </w:rPr>
              <w:t>Branch</w:t>
            </w:r>
          </w:p>
        </w:tc>
        <w:tc>
          <w:tcPr>
            <w:tcW w:type="dxa" w:w="7200"/>
          </w:tcPr>
          <w:p>
            <w:r/>
            <w:r>
              <w:rPr>
                <w:sz w:val="19"/>
              </w:rPr>
              <w:t>feat/patient-portal-records</w:t>
            </w:r>
          </w:p>
        </w:tc>
      </w:tr>
      <w:tr>
        <w:tc>
          <w:tcPr>
            <w:tcW w:type="dxa" w:w="2448"/>
          </w:tcPr>
          <w:p>
            <w:r/>
            <w:r>
              <w:rPr>
                <w:sz w:val="19"/>
              </w:rPr>
              <w:t>Baseline (last push)</w:t>
            </w:r>
          </w:p>
        </w:tc>
        <w:tc>
          <w:tcPr>
            <w:tcW w:type="dxa" w:w="7200"/>
          </w:tcPr>
          <w:p>
            <w:r/>
            <w:r>
              <w:rPr>
                <w:sz w:val="19"/>
              </w:rPr>
              <w:t>commit 708efd7 — pushed 27 August 2026</w:t>
            </w:r>
          </w:p>
        </w:tc>
      </w:tr>
      <w:tr>
        <w:tc>
          <w:tcPr>
            <w:tcW w:type="dxa" w:w="2448"/>
          </w:tcPr>
          <w:p>
            <w:r/>
            <w:r>
              <w:rPr>
                <w:sz w:val="19"/>
              </w:rPr>
              <w:t>Scope of Part 1</w:t>
            </w:r>
          </w:p>
        </w:tc>
        <w:tc>
          <w:tcPr>
            <w:tcW w:type="dxa" w:w="7200"/>
          </w:tcPr>
          <w:p>
            <w:r/>
            <w:r>
              <w:rPr>
                <w:sz w:val="19"/>
              </w:rPr>
              <w:t>All work between 27 August 2026 and 13 September 2026</w:t>
            </w:r>
          </w:p>
        </w:tc>
      </w:tr>
      <w:tr>
        <w:tc>
          <w:tcPr>
            <w:tcW w:type="dxa" w:w="2448"/>
          </w:tcPr>
          <w:p>
            <w:r/>
            <w:r>
              <w:rPr>
                <w:sz w:val="19"/>
              </w:rPr>
              <w:t>Working-tree state</w:t>
            </w:r>
          </w:p>
        </w:tc>
        <w:tc>
          <w:tcPr>
            <w:tcW w:type="dxa" w:w="7200"/>
          </w:tcPr>
          <w:p>
            <w:r/>
            <w:r>
              <w:rPr>
                <w:sz w:val="19"/>
              </w:rPr>
              <w:t>314 files changed, +15,117 / -6,827 lines. Not yet committed.</w:t>
            </w:r>
          </w:p>
        </w:tc>
      </w:tr>
      <w:tr>
        <w:tc>
          <w:tcPr>
            <w:tcW w:type="dxa" w:w="2448"/>
          </w:tcPr>
          <w:p>
            <w:r/>
            <w:r>
              <w:rPr>
                <w:sz w:val="19"/>
              </w:rPr>
              <w:t>Sources</w:t>
            </w:r>
          </w:p>
        </w:tc>
        <w:tc>
          <w:tcPr>
            <w:tcW w:type="dxa" w:w="7200"/>
          </w:tcPr>
          <w:p>
            <w:r/>
            <w:r>
              <w:rPr>
                <w:sz w:val="19"/>
              </w:rPr>
              <w:t>WELLCARE-BUILD-PLAN.md, WELLCARE-COMPLIANCE-PLAN.md, WELLCARE-GOVERNANCE-PLAN.md, WELLCARE-GOVERNANCE-TESTPLAN.md, repository, live database</w:t>
            </w:r>
          </w:p>
        </w:tc>
      </w:tr>
    </w:tbl>
    <w:p>
      <w:pPr>
        <w:spacing w:after="40"/>
      </w:pPr>
    </w:p>
    <w:p>
      <w:pPr>
        <w:spacing w:after="120"/>
      </w:pPr>
      <w:r>
        <w:rPr>
          <w:b/>
          <w:i w:val="0"/>
        </w:rPr>
        <w:t>Purpose of this report</w:t>
      </w:r>
    </w:p>
    <w:p>
      <w:pPr>
        <w:spacing w:after="120"/>
      </w:pPr>
      <w:r>
        <w:rPr>
          <w:b w:val="0"/>
          <w:i w:val="0"/>
        </w:rPr>
        <w:t>This report answers two questions. Part 1 lists what has been built since the last push to GitHub. Parts 2 to 5 flag every place where the running system and the capstone paper do not agree — features the system has that the paper never mentions, behaviour that contradicts what the paper states, deliverables the paper promises that the system does not have, and defects internal to the paper itself.</w:t>
      </w:r>
    </w:p>
    <w:p>
      <w:pPr>
        <w:spacing w:after="120"/>
      </w:pPr>
      <w:r>
        <w:rPr>
          <w:b w:val="0"/>
          <w:i/>
        </w:rPr>
        <w:t>Severity markers used throughout: [HIGH] must be resolved before submission. [MED] should be resolved; a panel may raise it. [LOW] cosmetic or easily explained.</w:t>
      </w:r>
    </w:p>
    <w:p>
      <w:r>
        <w:br w:type="page"/>
      </w:r>
    </w:p>
    <w:p>
      <w:pPr>
        <w:pStyle w:val="Heading1"/>
      </w:pPr>
      <w:r>
        <w:t>Part 1 — What has been built since the last push</w:t>
      </w:r>
    </w:p>
    <w:p>
      <w:pPr>
        <w:spacing w:after="120"/>
      </w:pPr>
      <w:r>
        <w:rPr>
          <w:b w:val="0"/>
          <w:i/>
        </w:rPr>
        <w:t>The last push to GitHub was commit 708efd7 on 27 August 2026. Everything below sits in the working tree and has not been committed. Headline counts: 152 new files, 19 new database migrations, 37 new test files, 314 files touched in total.</w:t>
      </w:r>
    </w:p>
    <w:p>
      <w:pPr>
        <w:pStyle w:val="Heading2"/>
      </w:pPr>
      <w:r>
        <w:t>1.1  Phase 8 — Account settings and site-wide essentials  (completed 7 September 2026)</w:t>
      </w:r>
    </w:p>
    <w:p>
      <w:pPr>
        <w:spacing w:after="120"/>
      </w:pPr>
      <w:r>
        <w:rPr>
          <w:b w:val="0"/>
          <w:i w:val="0"/>
        </w:rPr>
        <w:t>None of the paper's seventeen figures describes what a signed-in person does with their own account. The starter kit's three settings pages had been left where it put them, which is how the first defect below survived.</w:t>
      </w:r>
    </w:p>
    <w:p>
      <w:pPr>
        <w:pStyle w:val="ListBullet"/>
        <w:spacing w:after="60"/>
        <w:ind w:left="360"/>
      </w:pPr>
      <w:r>
        <w:t>Settings un-gated from the patient role. routes/settings.php was required inside the patient route group, and nested middleware accumulates — so every /settings/* URL carried role:user and returned 403 for doctors, nurses, HR and admin. Four of the five roles could not change their own password or enable 2FA.</w:t>
      </w:r>
    </w:p>
    <w:p>
      <w:pPr>
        <w:pStyle w:val="ListBullet"/>
        <w:spacing w:after="60"/>
        <w:ind w:left="360"/>
      </w:pPr>
      <w:r>
        <w:t>Role-aware settings shell. The settings pages were wrapped in the patient dashboard layout unconditionally, so a doctor who reached the page would have seen the patient sidebar.</w:t>
      </w:r>
    </w:p>
    <w:p>
      <w:pPr>
        <w:pStyle w:val="ListBullet"/>
        <w:spacing w:after="60"/>
        <w:ind w:left="360"/>
      </w:pPr>
      <w:r>
        <w:t>Profile — now edits contact number, address, company, sex, birthdate and civil status, not just first name, last name and email. Client number shown read-only.</w:t>
      </w:r>
    </w:p>
    <w:p>
      <w:pPr>
        <w:pStyle w:val="ListBullet"/>
        <w:spacing w:after="60"/>
        <w:ind w:left="360"/>
      </w:pPr>
      <w:r>
        <w:t>Security — password and 2FA, plus active browser sessions with sign-out-everywhere-else, and recent account activity.</w:t>
      </w:r>
    </w:p>
    <w:p>
      <w:pPr>
        <w:pStyle w:val="ListBullet"/>
        <w:spacing w:after="60"/>
        <w:ind w:left="360"/>
      </w:pPr>
      <w:r>
        <w:t>Notification preferences — five categories across two channels, enforced at the two delivery choke points rather than at each caller.</w:t>
      </w:r>
    </w:p>
    <w:p>
      <w:pPr>
        <w:pStyle w:val="ListBullet"/>
        <w:spacing w:after="60"/>
        <w:ind w:left="360"/>
      </w:pPr>
      <w:r>
        <w:t>Privacy and data — holdings summary, JSON export (RA 10173 access and portability), and account closure. Staff self-deletion refused.</w:t>
      </w:r>
    </w:p>
    <w:p>
      <w:pPr>
        <w:pStyle w:val="ListBullet"/>
        <w:spacing w:after="60"/>
        <w:ind w:left="360"/>
      </w:pPr>
      <w:r>
        <w:t>Authentication audit trail — login, logout, failed attempt and password reset written to activity_log under the log name 'auth'.</w:t>
      </w:r>
    </w:p>
    <w:p>
      <w:pPr>
        <w:pStyle w:val="ListBullet"/>
        <w:spacing w:after="60"/>
        <w:ind w:left="360"/>
      </w:pPr>
      <w:r>
        <w:t>Branded error pages for 403, 404, 429, 500 and 503; 419 bounces back with a flash message.</w:t>
      </w:r>
    </w:p>
    <w:p>
      <w:pPr>
        <w:pStyle w:val="ListBullet"/>
        <w:spacing w:after="60"/>
        <w:ind w:left="360"/>
      </w:pPr>
      <w:r>
        <w:t>Security headers on every response, including those built by the exception handler.</w:t>
      </w:r>
    </w:p>
    <w:p>
      <w:pPr>
        <w:pStyle w:val="ListBullet"/>
        <w:spacing w:after="60"/>
        <w:ind w:left="360"/>
      </w:pPr>
      <w:r>
        <w:t>Account menu in the topbar. The user chip had a pointer cursor, a hover state and a chevron, and no click handler — it looked like a menu on every dashboard and did nothing.</w:t>
      </w:r>
    </w:p>
    <w:p>
      <w:pPr>
        <w:pStyle w:val="ListBullet"/>
        <w:spacing w:after="60"/>
        <w:ind w:left="360"/>
      </w:pPr>
      <w:r>
        <w:t>Settings entry added to all five sidebars. No role linked to settings at all; HR's was commented out.</w:t>
      </w:r>
    </w:p>
    <w:p>
      <w:pPr>
        <w:pStyle w:val="Heading2"/>
      </w:pPr>
      <w:r>
        <w:t>1.2  Phase 9 — Staff onboarding, credentialing and roster governance  (completed 8 September 2026)</w:t>
      </w:r>
    </w:p>
    <w:p>
      <w:pPr>
        <w:spacing w:after="120"/>
      </w:pPr>
      <w:r>
        <w:rPr>
          <w:b w:val="0"/>
          <w:i w:val="0"/>
        </w:rPr>
        <w:t>All seventeen figures assume the five roles already exist and are competent. Not one says who creates a doctor, who decides their specialty, who approves their hours, or who checks they are licensed. The system inherited that silence: every role administered itself.</w:t>
      </w:r>
    </w:p>
    <w:p>
      <w:pPr>
        <w:spacing w:after="120"/>
      </w:pPr>
      <w:r>
        <w:rPr>
          <w:b w:val="0"/>
          <w:i/>
        </w:rPr>
        <w:t>The defect underneath it. StaffAccountService::create() wrote a users row, a patient_profiles row and a role, and stopped. A doctor created through the admin interface therefore had no doctor_profiles row — invisible to DoctorProfile::active(), unbookable, no specialty, and a blank name everywhere the display name is read. No error was raised anywhere. The only writer of doctor_profiles was a seeder, so this was invisible in development and would have appeared the first time a real doctor was hired.</w:t>
      </w:r>
    </w:p>
    <w:p>
      <w:pPr>
        <w:pStyle w:val="ListBullet"/>
        <w:spacing w:after="60"/>
        <w:ind w:left="360"/>
      </w:pPr>
      <w:r>
        <w:t>doctor_profiles is now created in the same transaction as the account. New doctors start unpublished.</w:t>
      </w:r>
    </w:p>
    <w:p>
      <w:pPr>
        <w:pStyle w:val="ListBullet"/>
        <w:spacing w:after="60"/>
        <w:ind w:left="360"/>
      </w:pPr>
      <w:r>
        <w:t>app/Enums/ — Specialty, CredentialStatus, BoardStatus. The seven specialty slugs had previously lived as undeclared strings in three separate places.</w:t>
      </w:r>
    </w:p>
    <w:p>
      <w:pPr>
        <w:pStyle w:val="ListBullet"/>
        <w:spacing w:after="60"/>
        <w:ind w:left="360"/>
      </w:pPr>
      <w:r>
        <w:t>staff_credentials table — PRC registration and expiry, PTR with LGU and expiry, PhilHealth accreditation, S2 licence, specialty board with Diplomate/Fellow rank, and annual medical certificate. Modelled on what a Philippine clinic actually files.</w:t>
      </w:r>
    </w:p>
    <w:p>
      <w:pPr>
        <w:pStyle w:val="ListBullet"/>
        <w:spacing w:after="60"/>
        <w:ind w:left="360"/>
      </w:pPr>
      <w:r>
        <w:t>CredentialingService — submit, verify, reject, suspend, confer specialty, sweep expired. doctor_profiles.is_active is now derived and this service is its only writer.</w:t>
      </w:r>
    </w:p>
    <w:p>
      <w:pPr>
        <w:pStyle w:val="ListBullet"/>
        <w:spacing w:after="60"/>
        <w:ind w:left="360"/>
      </w:pPr>
      <w:r>
        <w:t>credentials:sweep scheduled daily at 02:00. A lapsed PRC registration withdraws booking clearance automatically instead of raising a warning somebody has to notice.</w:t>
      </w:r>
    </w:p>
    <w:p>
      <w:pPr>
        <w:pStyle w:val="ListBullet"/>
        <w:spacing w:after="60"/>
        <w:ind w:left="360"/>
      </w:pPr>
      <w:r>
        <w:t>Roster approval. A doctor's weekly hours are a proposal; nothing is bookable until an administrator publishes it. Time off is exempt and applies immediately.</w:t>
      </w:r>
    </w:p>
    <w:p>
      <w:pPr>
        <w:pStyle w:val="ListBullet"/>
        <w:spacing w:after="60"/>
        <w:ind w:left="360"/>
      </w:pPr>
      <w:r>
        <w:t>Admin\AdminStaffController with /admin/staff, /admin/staff/roster and eight action routes, under a new CLINIC GOVERNANCE sidebar group.</w:t>
      </w:r>
    </w:p>
    <w:p>
      <w:pPr>
        <w:pStyle w:val="ListBullet"/>
        <w:spacing w:after="60"/>
        <w:ind w:left="360"/>
      </w:pPr>
      <w:r>
        <w:t>Doctor-side visibility — the availability page now states why nothing is bookable: awaiting approval, sent back with a remark, or a lapsed licence.</w:t>
      </w:r>
    </w:p>
    <w:p>
      <w:pPr>
        <w:pStyle w:val="ListBullet"/>
        <w:spacing w:after="60"/>
        <w:ind w:left="360"/>
      </w:pPr>
      <w:r>
        <w:t>Found by a failing test, not by review: BookingService::getAvailableSlots() had never checked whether a doctor was published.</w:t>
      </w:r>
    </w:p>
    <w:p>
      <w:pPr>
        <w:pStyle w:val="Heading2"/>
      </w:pPr>
      <w:r>
        <w:t>1.3  Data protection compliance, RA 10173  (8 September 2026, three passes)</w:t>
      </w:r>
    </w:p>
    <w:p>
      <w:pPr>
        <w:spacing w:after="120"/>
      </w:pPr>
      <w:r>
        <w:rPr>
          <w:b w:val="0"/>
          <w:i w:val="0"/>
        </w:rPr>
        <w:t>A full audit of the system against the Data Privacy Act of 2012 and DOH record-keeping rules, recorded in WELLCARE-COMPLIANCE-PLAN.md, followed by remediation.</w:t>
      </w:r>
    </w:p>
    <w:p>
      <w:pPr>
        <w:pStyle w:val="ListBullet"/>
        <w:spacing w:after="60"/>
        <w:ind w:left="360"/>
      </w:pPr>
      <w:r>
        <w:t>Retention floor under every deletion path — soft deletes on the clinical tables, retention-safe foreign keys, anonymise-and-restrict account closure, and the enforced retention period in config/retention.php. Built as a forceDeleting event guard rather than a stored retain_until column, so a new appointment extends retention automatically instead of leaving a stale date behind.</w:t>
      </w:r>
    </w:p>
    <w:p>
      <w:pPr>
        <w:pStyle w:val="ListBullet"/>
        <w:spacing w:after="60"/>
        <w:ind w:left="360"/>
      </w:pPr>
      <w:r>
        <w:t>Policy layer over the four clinical models, plus a role matrix test. Emergency access is break-glass and logged, not outright denial.</w:t>
      </w:r>
    </w:p>
    <w:p>
      <w:pPr>
        <w:pStyle w:val="ListBullet"/>
        <w:spacing w:after="60"/>
        <w:ind w:left="360"/>
      </w:pPr>
      <w:r>
        <w:t>record_access_log — every read of a patient record, including whether the reader had a care relationship. Surfaced to the patient as a 'who viewed this record' panel.</w:t>
      </w:r>
    </w:p>
    <w:p>
      <w:pPr>
        <w:pStyle w:val="ListBullet"/>
        <w:spacing w:after="60"/>
        <w:ind w:left="360"/>
      </w:pPr>
      <w:r>
        <w:t>Consent capture, versioned and withdrawable. The consent wording still awaits sign-off, so consent.approved is currently false.</w:t>
      </w:r>
    </w:p>
    <w:p>
      <w:pPr>
        <w:pStyle w:val="ListBullet"/>
        <w:spacing w:after="60"/>
        <w:ind w:left="360"/>
      </w:pPr>
      <w:r>
        <w:t>Encrypted casts on high-value sensitive personal information, with key rotation and a boot guard.</w:t>
      </w:r>
    </w:p>
    <w:p>
      <w:pPr>
        <w:pStyle w:val="ListBullet"/>
        <w:spacing w:after="60"/>
        <w:ind w:left="360"/>
      </w:pPr>
      <w:r>
        <w:t>Encrypted document storage, with a verified backfill of legacy files already on disk.</w:t>
      </w:r>
    </w:p>
    <w:p>
      <w:pPr>
        <w:pStyle w:val="ListBullet"/>
        <w:spacing w:after="60"/>
        <w:ind w:left="360"/>
      </w:pPr>
      <w:r>
        <w:t>Ownership checks on staff mutations and on document downloads.</w:t>
      </w:r>
    </w:p>
    <w:p>
      <w:pPr>
        <w:pStyle w:val="ListBullet"/>
        <w:spacing w:after="60"/>
        <w:ind w:left="360"/>
      </w:pPr>
      <w:r>
        <w:t>Hardened .env.example plus a runtime production guard; the local disk is no longer served; HTTPS forced in production.</w:t>
      </w:r>
    </w:p>
    <w:p>
      <w:pPr>
        <w:pStyle w:val="ListBullet"/>
        <w:spacing w:after="60"/>
        <w:ind w:left="360"/>
      </w:pPr>
      <w:r>
        <w:t>Scheduled retention sweeps for both activity_log and record_access_log.</w:t>
      </w:r>
    </w:p>
    <w:p>
      <w:pPr>
        <w:spacing w:after="120"/>
      </w:pPr>
      <w:r>
        <w:rPr>
          <w:b w:val="0"/>
          <w:i/>
        </w:rPr>
        <w:t>Still open and deliberately so: the correction-request flow (SC-7), breach-detection signals (SC-8), and trimming the administrator's audit view (SC-9).</w:t>
      </w:r>
    </w:p>
    <w:p>
      <w:pPr>
        <w:pStyle w:val="Heading2"/>
      </w:pPr>
      <w:r>
        <w:t>1.4  Administrative governance  (10–11 September 2026, two passes plus a manual walkthrough)</w:t>
      </w:r>
    </w:p>
    <w:p>
      <w:pPr>
        <w:spacing w:after="120"/>
      </w:pPr>
      <w:r>
        <w:rPr>
          <w:b w:val="0"/>
          <w:i w:val="0"/>
        </w:rPr>
        <w:t>An audit of who administers the administrator, recorded in WELLCARE-GOVERNANCE-PLAN.md. The system previously had a single flat admin role that could do everything, including promoting other administrators and reading its own audit trail.</w:t>
      </w:r>
    </w:p>
    <w:p>
      <w:pPr>
        <w:pStyle w:val="ListBullet"/>
        <w:spacing w:after="60"/>
        <w:ind w:left="360"/>
      </w:pPr>
      <w:r>
        <w:t>Tier 0, System Owner — the only role that can grant or revoke the admin role. Created only by the console command wellcare:owner:create, never through an HTTP route. MFA mandatory. Deliberately has no access to patient data at all, so an owner compromise costs the control plane and not the record.</w:t>
      </w:r>
    </w:p>
    <w:p>
      <w:pPr>
        <w:pStyle w:val="ListBullet"/>
        <w:spacing w:after="60"/>
        <w:ind w:left="360"/>
      </w:pPr>
      <w:r>
        <w:t>Tier 1, Administrator — everything the role did before, minus granting admin and minus deciding LOAs, and expressed as named capabilities rather than as a role name.</w:t>
      </w:r>
    </w:p>
    <w:p>
      <w:pPr>
        <w:pStyle w:val="ListBullet"/>
        <w:spacing w:after="60"/>
        <w:ind w:left="360"/>
      </w:pPr>
      <w:r>
        <w:t>Data Protection Officer — sits outside the hierarchy. The only role that can read record_access_log and review break-glass events. It cannot create, edit, promote, deactivate or delete any account; that inability is what makes its view of administrator activity independent of the administrators it describes.</w:t>
      </w:r>
    </w:p>
    <w:p>
      <w:pPr>
        <w:pStyle w:val="ListBullet"/>
        <w:spacing w:after="60"/>
        <w:ind w:left="360"/>
      </w:pPr>
      <w:r>
        <w:t>Mandatory MFA enrolment for privileged roles, enforced by middleware rather than offered.</w:t>
      </w:r>
    </w:p>
    <w:p>
      <w:pPr>
        <w:pStyle w:val="ListBullet"/>
        <w:spacing w:after="60"/>
        <w:ind w:left="360"/>
      </w:pPr>
      <w:r>
        <w:t>Shorter idle timeout on privileged sessions.</w:t>
      </w:r>
    </w:p>
    <w:p>
      <w:pPr>
        <w:pStyle w:val="ListBullet"/>
        <w:spacing w:after="60"/>
        <w:ind w:left="360"/>
      </w:pPr>
      <w:r>
        <w:t>Forced password change on any account provisioned by somebody else — enforced as a redirect, not a dismissible banner.</w:t>
      </w:r>
    </w:p>
    <w:p>
      <w:pPr>
        <w:pStyle w:val="ListBullet"/>
        <w:spacing w:after="60"/>
        <w:ind w:left="360"/>
      </w:pPr>
      <w:r>
        <w:t>Break-glass recovery for a locked-out clinic, via console, refused when it is not an emergency, and reported to the owner and DPO.</w:t>
      </w:r>
    </w:p>
    <w:p>
      <w:pPr>
        <w:pStyle w:val="ListBullet"/>
        <w:spacing w:after="60"/>
        <w:ind w:left="360"/>
      </w:pPr>
      <w:r>
        <w:t>The subject of an administrative action is now told when their own access changes.</w:t>
      </w:r>
    </w:p>
    <w:p>
      <w:pPr>
        <w:pStyle w:val="ListBullet"/>
        <w:spacing w:after="60"/>
        <w:ind w:left="360"/>
      </w:pPr>
      <w:r>
        <w:t>Administrative reads of patient data are audited.</w:t>
      </w:r>
    </w:p>
    <w:p>
      <w:pPr>
        <w:spacing w:after="120"/>
      </w:pPr>
      <w:r>
        <w:rPr>
          <w:b w:val="0"/>
          <w:i/>
        </w:rPr>
        <w:t>Manual walkthrough, 11 September 2026. All fifteen governance controls were driven by hand in a browser. Every boundary held and no control was missing. Three, however, refused correctly and told the user nothing: a provisioned account was bounced to settings with no message because the flash did not survive a two-hop redirect; the idle timeout and the deactivation check both wrote errors the login page could not render, so a suspended nurse could not tell suspension from a mistyped password; and the peer-administrator buttons were correctly disabled but carried a tooltip no browser would ever fire, with no disabled styling at all. All three fixes were display-layer only. Thirteen new tests now assert that the sentence reaches the page, not merely that the redirect happens.</w:t>
      </w:r>
    </w:p>
    <w:p>
      <w:pPr>
        <w:pStyle w:val="Heading2"/>
      </w:pPr>
      <w:r>
        <w:t>1.5  Clinical safety, scheduling and notifications</w:t>
      </w:r>
    </w:p>
    <w:p>
      <w:pPr>
        <w:pStyle w:val="ListBullet"/>
        <w:spacing w:after="60"/>
        <w:ind w:left="360"/>
      </w:pPr>
      <w:r>
        <w:t>Drug-allergy contraindication warning before a prescription is saved. Name matching over a small hand-written ingredient table — explicitly not a drug database or a formulary, and documented as such in the code.</w:t>
      </w:r>
    </w:p>
    <w:p>
      <w:pPr>
        <w:pStyle w:val="ListBullet"/>
        <w:spacing w:after="60"/>
        <w:ind w:left="360"/>
      </w:pPr>
      <w:r>
        <w:t>Outbound notification delivery. Notifications now actually leave the application: a queued delivery job, a branded mail class, and an SMS sender behind a driver contract with a log-only driver in place for development.</w:t>
      </w:r>
    </w:p>
    <w:p>
      <w:pPr>
        <w:pStyle w:val="ListBullet"/>
        <w:spacing w:after="60"/>
        <w:ind w:left="360"/>
      </w:pPr>
      <w:r>
        <w:t>Critical lab results must be acknowledged. A critical value that nobody accepts is re-raised automatically every five minutes, rather than sitting unread while the system reports it as delivered.</w:t>
      </w:r>
    </w:p>
    <w:p>
      <w:pPr>
        <w:pStyle w:val="ListBullet"/>
        <w:spacing w:after="60"/>
        <w:ind w:left="360"/>
      </w:pPr>
      <w:r>
        <w:t>Appointment reminders. The 'reminder' value had existed in appointment_notifications.type since that table's first migration, was carried through four subsequent enum migrations, and was dispatched from nowhere. It now sends.</w:t>
      </w:r>
    </w:p>
    <w:p>
      <w:pPr>
        <w:pStyle w:val="ListBullet"/>
        <w:spacing w:after="60"/>
        <w:ind w:left="360"/>
      </w:pPr>
      <w:r>
        <w:t>Rescheduling moves an appointment to a new slot as a single transaction, and a rescheduling appointment is no longer counted against its own target slot.</w:t>
      </w:r>
    </w:p>
    <w:p>
      <w:pPr>
        <w:pStyle w:val="ListBullet"/>
        <w:spacing w:after="60"/>
        <w:ind w:left="360"/>
      </w:pPr>
      <w:r>
        <w:t>Numeric vitals stored alongside the display strings, so trends can be computed.</w:t>
      </w:r>
    </w:p>
    <w:p>
      <w:pPr>
        <w:pStyle w:val="ListBullet"/>
        <w:spacing w:after="60"/>
        <w:ind w:left="360"/>
      </w:pPr>
      <w:r>
        <w:t>A patient may now book more than once in a day. The old rule was one appointment per patient per date, which rejected an ordinary clinic day — a consultation and the lab work it orders. It is now a time-overlap check against appointment duration, plus a daily maximum of three.</w:t>
      </w:r>
    </w:p>
    <w:p>
      <w:pPr>
        <w:pStyle w:val="ListBullet"/>
        <w:spacing w:after="60"/>
        <w:ind w:left="360"/>
      </w:pPr>
      <w:r>
        <w:t>Consultations start with the patient. The 'Start New Session' button was removed; a consultation now begins where it actually begins, with the patient checking in, and the doctor's Start posts the guarded checked-in to in-progress transition.</w:t>
      </w:r>
    </w:p>
    <w:p>
      <w:pPr>
        <w:pStyle w:val="ListBullet"/>
        <w:spacing w:after="60"/>
        <w:ind w:left="360"/>
      </w:pPr>
      <w:r>
        <w:t>Doctors have a real public profile — credentials, board standing and clinic hours — reachable from the doctor's name on a patient's appointment. Doctor photograph upload added; patient, HR, nurse and admin avatars remain deliberately unbuilt.</w:t>
      </w:r>
    </w:p>
    <w:p>
      <w:pPr>
        <w:pStyle w:val="ListBullet"/>
        <w:spacing w:after="60"/>
        <w:ind w:left="360"/>
      </w:pPr>
      <w:r>
        <w:t>Scheduler heartbeat and status commands, so a stopped scheduler is visible rather than silent.</w:t>
      </w:r>
    </w:p>
    <w:p>
      <w:pPr>
        <w:pStyle w:val="Heading2"/>
      </w:pPr>
      <w:r>
        <w:t>1.6  Test suite and housekeeping</w:t>
      </w:r>
    </w:p>
    <w:p>
      <w:pPr>
        <w:pStyle w:val="ListBullet"/>
        <w:spacing w:after="60"/>
        <w:ind w:left="360"/>
      </w:pPr>
      <w:r>
        <w:t>37 new test files. The suite was last recorded at 1,244 passing tests and 4,459 assertions on 11 September 2026.</w:t>
      </w:r>
    </w:p>
    <w:p>
      <w:pPr>
        <w:pStyle w:val="ListBullet"/>
        <w:spacing w:after="60"/>
        <w:ind w:left="360"/>
      </w:pPr>
      <w:r>
        <w:t>Three date-dependent test flakes fixed — tests that failed only after 21:00, or only on Fridays, and which had been passing by luck.</w:t>
      </w:r>
    </w:p>
    <w:p>
      <w:pPr>
        <w:pStyle w:val="ListBullet"/>
        <w:spacing w:after="60"/>
        <w:ind w:left="360"/>
      </w:pPr>
      <w:r>
        <w:t>Four model policies added: Patient, PatientAllergy, PatientDiagnosis, PatientDocument.</w:t>
      </w:r>
    </w:p>
    <w:p>
      <w:r>
        <w:br w:type="page"/>
      </w:r>
    </w:p>
    <w:p>
      <w:pPr>
        <w:pStyle w:val="Heading1"/>
      </w:pPr>
      <w:r>
        <w:t>Part 2 — In the system, nowhere in the paper</w:t>
      </w:r>
    </w:p>
    <w:p>
      <w:pPr>
        <w:spacing w:after="120"/>
      </w:pPr>
      <w:r>
        <w:rPr>
          <w:b w:val="0"/>
          <w:i w:val="0"/>
        </w:rPr>
        <w:t>Each row below is a working feature with no corresponding objective, scope statement, figure or table in the capstone document. These are not defects in the software. They are unclaimed work, and a panel that finds them undocumented will ask why the paper does not describe the system it is submitted with.</w:t>
      </w:r>
    </w:p>
    <w:p>
      <w:pPr>
        <w:pStyle w:val="Heading2"/>
      </w:pPr>
      <w:r>
        <w:t>2.1  Whole modules with no documentary basis</w:t>
      </w:r>
    </w:p>
    <w:tbl>
      <w:tblPr>
        <w:tblStyle w:val="TableGrid"/>
        <w:tblW w:type="auto" w:w="0"/>
        <w:jc w:val="left"/>
        <w:tblLook w:firstColumn="1" w:firstRow="1" w:lastColumn="0" w:lastRow="0" w:noHBand="0" w:noVBand="1" w:val="04A0"/>
      </w:tblPr>
      <w:tblGrid>
        <w:gridCol w:w="3264"/>
        <w:gridCol w:w="3264"/>
        <w:gridCol w:w="3264"/>
      </w:tblGrid>
      <w:tr>
        <w:tc>
          <w:tcPr>
            <w:tcW w:type="dxa" w:w="4176"/>
          </w:tcPr>
          <w:p>
            <w:r/>
            <w:r>
              <w:rPr>
                <w:b/>
                <w:sz w:val="19"/>
              </w:rPr>
              <w:t>Feature in the system</w:t>
            </w:r>
          </w:p>
        </w:tc>
        <w:tc>
          <w:tcPr>
            <w:tcW w:type="dxa" w:w="4464"/>
          </w:tcPr>
          <w:p>
            <w:r/>
            <w:r>
              <w:rPr>
                <w:b/>
                <w:sz w:val="19"/>
              </w:rPr>
              <w:t>Paper status</w:t>
            </w:r>
          </w:p>
        </w:tc>
        <w:tc>
          <w:tcPr>
            <w:tcW w:type="dxa" w:w="1008"/>
          </w:tcPr>
          <w:p>
            <w:r/>
            <w:r>
              <w:rPr>
                <w:b/>
                <w:sz w:val="19"/>
              </w:rPr>
              <w:t>Flag</w:t>
            </w:r>
          </w:p>
        </w:tc>
      </w:tr>
      <w:tr>
        <w:tc>
          <w:tcPr>
            <w:tcW w:type="dxa" w:w="4176"/>
          </w:tcPr>
          <w:p>
            <w:r/>
            <w:r>
              <w:rPr>
                <w:sz w:val="19"/>
              </w:rPr>
              <w:t>System Owner role (Tier 0) — grants and revokes the admin role; console-created only</w:t>
            </w:r>
          </w:p>
        </w:tc>
        <w:tc>
          <w:tcPr>
            <w:tcW w:type="dxa" w:w="4464"/>
          </w:tcPr>
          <w:p>
            <w:r/>
            <w:r>
              <w:rPr>
                <w:sz w:val="19"/>
              </w:rPr>
              <w:t>The paper documents five roles. This is a sixth.</w:t>
            </w:r>
          </w:p>
        </w:tc>
        <w:tc>
          <w:tcPr>
            <w:tcW w:type="dxa" w:w="1008"/>
          </w:tcPr>
          <w:p>
            <w:r/>
            <w:r>
              <w:rPr>
                <w:sz w:val="19"/>
              </w:rPr>
              <w:t>[HIGH]</w:t>
            </w:r>
          </w:p>
        </w:tc>
      </w:tr>
      <w:tr>
        <w:tc>
          <w:tcPr>
            <w:tcW w:type="dxa" w:w="4176"/>
          </w:tcPr>
          <w:p>
            <w:r/>
            <w:r>
              <w:rPr>
                <w:sz w:val="19"/>
              </w:rPr>
              <w:t>Data Protection Officer role — reads the access log, reviews break-glass events</w:t>
            </w:r>
          </w:p>
        </w:tc>
        <w:tc>
          <w:tcPr>
            <w:tcW w:type="dxa" w:w="4464"/>
          </w:tcPr>
          <w:p>
            <w:r/>
            <w:r>
              <w:rPr>
                <w:sz w:val="19"/>
              </w:rPr>
              <w:t>The paper documents five roles. This is a seventh.</w:t>
            </w:r>
          </w:p>
        </w:tc>
        <w:tc>
          <w:tcPr>
            <w:tcW w:type="dxa" w:w="1008"/>
          </w:tcPr>
          <w:p>
            <w:r/>
            <w:r>
              <w:rPr>
                <w:sz w:val="19"/>
              </w:rPr>
              <w:t>[HIGH]</w:t>
            </w:r>
          </w:p>
        </w:tc>
      </w:tr>
      <w:tr>
        <w:tc>
          <w:tcPr>
            <w:tcW w:type="dxa" w:w="4176"/>
          </w:tcPr>
          <w:p>
            <w:r/>
            <w:r>
              <w:rPr>
                <w:sz w:val="19"/>
              </w:rPr>
              <w:t>Staff credentialing — PRC, PTR, PhilHealth, S2, specialty board, medical certificate</w:t>
            </w:r>
          </w:p>
        </w:tc>
        <w:tc>
          <w:tcPr>
            <w:tcW w:type="dxa" w:w="4464"/>
          </w:tcPr>
          <w:p>
            <w:r/>
            <w:r>
              <w:rPr>
                <w:sz w:val="19"/>
              </w:rPr>
              <w:t>No objective, scope line or figure. The paper never says who licenses a doctor.</w:t>
            </w:r>
          </w:p>
        </w:tc>
        <w:tc>
          <w:tcPr>
            <w:tcW w:type="dxa" w:w="1008"/>
          </w:tcPr>
          <w:p>
            <w:r/>
            <w:r>
              <w:rPr>
                <w:sz w:val="19"/>
              </w:rPr>
              <w:t>[HIGH]</w:t>
            </w:r>
          </w:p>
        </w:tc>
      </w:tr>
      <w:tr>
        <w:tc>
          <w:tcPr>
            <w:tcW w:type="dxa" w:w="4176"/>
          </w:tcPr>
          <w:p>
            <w:r/>
            <w:r>
              <w:rPr>
                <w:sz w:val="19"/>
              </w:rPr>
              <w:t>Roster approval — a doctor's hours are a proposal until an administrator publishes them</w:t>
            </w:r>
          </w:p>
        </w:tc>
        <w:tc>
          <w:tcPr>
            <w:tcW w:type="dxa" w:w="4464"/>
          </w:tcPr>
          <w:p>
            <w:r/>
            <w:r>
              <w:rPr>
                <w:sz w:val="19"/>
              </w:rPr>
              <w:t>Figure 4 gives the admin 'oversee schedules'; approval-before-bookable is not described.</w:t>
            </w:r>
          </w:p>
        </w:tc>
        <w:tc>
          <w:tcPr>
            <w:tcW w:type="dxa" w:w="1008"/>
          </w:tcPr>
          <w:p>
            <w:r/>
            <w:r>
              <w:rPr>
                <w:sz w:val="19"/>
              </w:rPr>
              <w:t>[MED]</w:t>
            </w:r>
          </w:p>
        </w:tc>
      </w:tr>
      <w:tr>
        <w:tc>
          <w:tcPr>
            <w:tcW w:type="dxa" w:w="4176"/>
          </w:tcPr>
          <w:p>
            <w:r/>
            <w:r>
              <w:rPr>
                <w:sz w:val="19"/>
              </w:rPr>
              <w:t>Account settings module — profile, security, notification preferences, privacy and export</w:t>
            </w:r>
          </w:p>
        </w:tc>
        <w:tc>
          <w:tcPr>
            <w:tcW w:type="dxa" w:w="4464"/>
          </w:tcPr>
          <w:p>
            <w:r/>
            <w:r>
              <w:rPr>
                <w:sz w:val="19"/>
              </w:rPr>
              <w:t>Not an objective. All seventeen figures describe clinical flow only.</w:t>
            </w:r>
          </w:p>
        </w:tc>
        <w:tc>
          <w:tcPr>
            <w:tcW w:type="dxa" w:w="1008"/>
          </w:tcPr>
          <w:p>
            <w:r/>
            <w:r>
              <w:rPr>
                <w:sz w:val="19"/>
              </w:rPr>
              <w:t>[MED]</w:t>
            </w:r>
          </w:p>
        </w:tc>
      </w:tr>
      <w:tr>
        <w:tc>
          <w:tcPr>
            <w:tcW w:type="dxa" w:w="4176"/>
          </w:tcPr>
          <w:p>
            <w:r/>
            <w:r>
              <w:rPr>
                <w:sz w:val="19"/>
              </w:rPr>
              <w:t>Consent capture — versioned, withdrawable, per data-subject</w:t>
            </w:r>
          </w:p>
        </w:tc>
        <w:tc>
          <w:tcPr>
            <w:tcW w:type="dxa" w:w="4464"/>
          </w:tcPr>
          <w:p>
            <w:r/>
            <w:r>
              <w:rPr>
                <w:sz w:val="19"/>
              </w:rPr>
              <w:t>Not mentioned anywhere in the paper.</w:t>
            </w:r>
          </w:p>
        </w:tc>
        <w:tc>
          <w:tcPr>
            <w:tcW w:type="dxa" w:w="1008"/>
          </w:tcPr>
          <w:p>
            <w:r/>
            <w:r>
              <w:rPr>
                <w:sz w:val="19"/>
              </w:rPr>
              <w:t>[HIGH]</w:t>
            </w:r>
          </w:p>
        </w:tc>
      </w:tr>
      <w:tr>
        <w:tc>
          <w:tcPr>
            <w:tcW w:type="dxa" w:w="4176"/>
          </w:tcPr>
          <w:p>
            <w:r/>
            <w:r>
              <w:rPr>
                <w:sz w:val="19"/>
              </w:rPr>
              <w:t>Record access log and the patient-facing 'who viewed this record' panel</w:t>
            </w:r>
          </w:p>
        </w:tc>
        <w:tc>
          <w:tcPr>
            <w:tcW w:type="dxa" w:w="4464"/>
          </w:tcPr>
          <w:p>
            <w:r/>
            <w:r>
              <w:rPr>
                <w:sz w:val="19"/>
              </w:rPr>
              <w:t>The paper documents an Activity Log (changes). This is a separate read log.</w:t>
            </w:r>
          </w:p>
        </w:tc>
        <w:tc>
          <w:tcPr>
            <w:tcW w:type="dxa" w:w="1008"/>
          </w:tcPr>
          <w:p>
            <w:r/>
            <w:r>
              <w:rPr>
                <w:sz w:val="19"/>
              </w:rPr>
              <w:t>[MED]</w:t>
            </w:r>
          </w:p>
        </w:tc>
      </w:tr>
      <w:tr>
        <w:tc>
          <w:tcPr>
            <w:tcW w:type="dxa" w:w="4176"/>
          </w:tcPr>
          <w:p>
            <w:r/>
            <w:r>
              <w:rPr>
                <w:sz w:val="19"/>
              </w:rPr>
              <w:t>Retention policy and scheduled purge of expired records</w:t>
            </w:r>
          </w:p>
        </w:tc>
        <w:tc>
          <w:tcPr>
            <w:tcW w:type="dxa" w:w="4464"/>
          </w:tcPr>
          <w:p>
            <w:r/>
            <w:r>
              <w:rPr>
                <w:sz w:val="19"/>
              </w:rPr>
              <w:t>Not mentioned. Relevant to RA 10173 and DOH retention rules.</w:t>
            </w:r>
          </w:p>
        </w:tc>
        <w:tc>
          <w:tcPr>
            <w:tcW w:type="dxa" w:w="1008"/>
          </w:tcPr>
          <w:p>
            <w:r/>
            <w:r>
              <w:rPr>
                <w:sz w:val="19"/>
              </w:rPr>
              <w:t>[MED]</w:t>
            </w:r>
          </w:p>
        </w:tc>
      </w:tr>
      <w:tr>
        <w:tc>
          <w:tcPr>
            <w:tcW w:type="dxa" w:w="4176"/>
          </w:tcPr>
          <w:p>
            <w:r/>
            <w:r>
              <w:rPr>
                <w:sz w:val="19"/>
              </w:rPr>
              <w:t>Field-level encryption of sensitive columns, plus encrypted document storage</w:t>
            </w:r>
          </w:p>
        </w:tc>
        <w:tc>
          <w:tcPr>
            <w:tcW w:type="dxa" w:w="4464"/>
          </w:tcPr>
          <w:p>
            <w:r/>
            <w:r>
              <w:rPr>
                <w:sz w:val="19"/>
              </w:rPr>
              <w:t>Not mentioned.</w:t>
            </w:r>
          </w:p>
        </w:tc>
        <w:tc>
          <w:tcPr>
            <w:tcW w:type="dxa" w:w="1008"/>
          </w:tcPr>
          <w:p>
            <w:r/>
            <w:r>
              <w:rPr>
                <w:sz w:val="19"/>
              </w:rPr>
              <w:t>[MED]</w:t>
            </w:r>
          </w:p>
        </w:tc>
      </w:tr>
      <w:tr>
        <w:tc>
          <w:tcPr>
            <w:tcW w:type="dxa" w:w="4176"/>
          </w:tcPr>
          <w:p>
            <w:r/>
            <w:r>
              <w:rPr>
                <w:sz w:val="19"/>
              </w:rPr>
              <w:t>Drug-allergy contraindication check before prescribing</w:t>
            </w:r>
          </w:p>
        </w:tc>
        <w:tc>
          <w:tcPr>
            <w:tcW w:type="dxa" w:w="4464"/>
          </w:tcPr>
          <w:p>
            <w:r/>
            <w:r>
              <w:rPr>
                <w:sz w:val="19"/>
              </w:rPr>
              <w:t>Not mentioned. Allergies are stored in the system but the paper describes no check.</w:t>
            </w:r>
          </w:p>
        </w:tc>
        <w:tc>
          <w:tcPr>
            <w:tcW w:type="dxa" w:w="1008"/>
          </w:tcPr>
          <w:p>
            <w:r/>
            <w:r>
              <w:rPr>
                <w:sz w:val="19"/>
              </w:rPr>
              <w:t>[MED]</w:t>
            </w:r>
          </w:p>
        </w:tc>
      </w:tr>
      <w:tr>
        <w:tc>
          <w:tcPr>
            <w:tcW w:type="dxa" w:w="4176"/>
          </w:tcPr>
          <w:p>
            <w:r/>
            <w:r>
              <w:rPr>
                <w:sz w:val="19"/>
              </w:rPr>
              <w:t>Critical lab result acknowledgement and automatic escalation</w:t>
            </w:r>
          </w:p>
        </w:tc>
        <w:tc>
          <w:tcPr>
            <w:tcW w:type="dxa" w:w="4464"/>
          </w:tcPr>
          <w:p>
            <w:r/>
            <w:r>
              <w:rPr>
                <w:sz w:val="19"/>
              </w:rPr>
              <w:t>Not mentioned.</w:t>
            </w:r>
          </w:p>
        </w:tc>
        <w:tc>
          <w:tcPr>
            <w:tcW w:type="dxa" w:w="1008"/>
          </w:tcPr>
          <w:p>
            <w:r/>
            <w:r>
              <w:rPr>
                <w:sz w:val="19"/>
              </w:rPr>
              <w:t>[MED]</w:t>
            </w:r>
          </w:p>
        </w:tc>
      </w:tr>
      <w:tr>
        <w:tc>
          <w:tcPr>
            <w:tcW w:type="dxa" w:w="4176"/>
          </w:tcPr>
          <w:p>
            <w:r/>
            <w:r>
              <w:rPr>
                <w:sz w:val="19"/>
              </w:rPr>
              <w:t>Appointment reminders (scheduled, multi-tier)</w:t>
            </w:r>
          </w:p>
        </w:tc>
        <w:tc>
          <w:tcPr>
            <w:tcW w:type="dxa" w:w="4464"/>
          </w:tcPr>
          <w:p>
            <w:r/>
            <w:r>
              <w:rPr>
                <w:sz w:val="19"/>
              </w:rPr>
              <w:t>Not mentioned. Notifications are documented; reminders specifically are not.</w:t>
            </w:r>
          </w:p>
        </w:tc>
        <w:tc>
          <w:tcPr>
            <w:tcW w:type="dxa" w:w="1008"/>
          </w:tcPr>
          <w:p>
            <w:r/>
            <w:r>
              <w:rPr>
                <w:sz w:val="19"/>
              </w:rPr>
              <w:t>[MED]</w:t>
            </w:r>
          </w:p>
        </w:tc>
      </w:tr>
      <w:tr>
        <w:tc>
          <w:tcPr>
            <w:tcW w:type="dxa" w:w="4176"/>
          </w:tcPr>
          <w:p>
            <w:r/>
            <w:r>
              <w:rPr>
                <w:sz w:val="19"/>
              </w:rPr>
              <w:t>SMS delivery channel alongside email</w:t>
            </w:r>
          </w:p>
        </w:tc>
        <w:tc>
          <w:tcPr>
            <w:tcW w:type="dxa" w:w="4464"/>
          </w:tcPr>
          <w:p>
            <w:r/>
            <w:r>
              <w:rPr>
                <w:sz w:val="19"/>
              </w:rPr>
              <w:t>The paper describes notifications without naming a channel.</w:t>
            </w:r>
          </w:p>
        </w:tc>
        <w:tc>
          <w:tcPr>
            <w:tcW w:type="dxa" w:w="1008"/>
          </w:tcPr>
          <w:p>
            <w:r/>
            <w:r>
              <w:rPr>
                <w:sz w:val="19"/>
              </w:rPr>
              <w:t>[LOW]</w:t>
            </w:r>
          </w:p>
        </w:tc>
      </w:tr>
      <w:tr>
        <w:tc>
          <w:tcPr>
            <w:tcW w:type="dxa" w:w="4176"/>
          </w:tcPr>
          <w:p>
            <w:r/>
            <w:r>
              <w:rPr>
                <w:sz w:val="19"/>
              </w:rPr>
              <w:t>Doctor public profile pages — credentials, board standing, clinic hours</w:t>
            </w:r>
          </w:p>
        </w:tc>
        <w:tc>
          <w:tcPr>
            <w:tcW w:type="dxa" w:w="4464"/>
          </w:tcPr>
          <w:p>
            <w:r/>
            <w:r>
              <w:rPr>
                <w:sz w:val="19"/>
              </w:rPr>
              <w:t>Not mentioned.</w:t>
            </w:r>
          </w:p>
        </w:tc>
        <w:tc>
          <w:tcPr>
            <w:tcW w:type="dxa" w:w="1008"/>
          </w:tcPr>
          <w:p>
            <w:r/>
            <w:r>
              <w:rPr>
                <w:sz w:val="19"/>
              </w:rPr>
              <w:t>[LOW]</w:t>
            </w:r>
          </w:p>
        </w:tc>
      </w:tr>
      <w:tr>
        <w:tc>
          <w:tcPr>
            <w:tcW w:type="dxa" w:w="4176"/>
          </w:tcPr>
          <w:p>
            <w:r/>
            <w:r>
              <w:rPr>
                <w:sz w:val="19"/>
              </w:rPr>
              <w:t>Appointment rescheduling as a first-class transaction</w:t>
            </w:r>
          </w:p>
        </w:tc>
        <w:tc>
          <w:tcPr>
            <w:tcW w:type="dxa" w:w="4464"/>
          </w:tcPr>
          <w:p>
            <w:r/>
            <w:r>
              <w:rPr>
                <w:sz w:val="19"/>
              </w:rPr>
              <w:t>The paper documents booking and cancellation, not rescheduling.</w:t>
            </w:r>
          </w:p>
        </w:tc>
        <w:tc>
          <w:tcPr>
            <w:tcW w:type="dxa" w:w="1008"/>
          </w:tcPr>
          <w:p>
            <w:r/>
            <w:r>
              <w:rPr>
                <w:sz w:val="19"/>
              </w:rPr>
              <w:t>[MED]</w:t>
            </w:r>
          </w:p>
        </w:tc>
      </w:tr>
    </w:tbl>
    <w:p>
      <w:pPr>
        <w:spacing w:after="40"/>
      </w:pPr>
    </w:p>
    <w:p>
      <w:pPr>
        <w:pStyle w:val="Heading2"/>
      </w:pPr>
      <w:r>
        <w:t>2.2  Security and platform behaviour with no documentary basis</w:t>
      </w:r>
    </w:p>
    <w:tbl>
      <w:tblPr>
        <w:tblStyle w:val="TableGrid"/>
        <w:tblW w:type="auto" w:w="0"/>
        <w:jc w:val="left"/>
        <w:tblLook w:firstColumn="1" w:firstRow="1" w:lastColumn="0" w:lastRow="0" w:noHBand="0" w:noVBand="1" w:val="04A0"/>
      </w:tblPr>
      <w:tblGrid>
        <w:gridCol w:w="3264"/>
        <w:gridCol w:w="3264"/>
        <w:gridCol w:w="3264"/>
      </w:tblGrid>
      <w:tr>
        <w:tc>
          <w:tcPr>
            <w:tcW w:type="dxa" w:w="4176"/>
          </w:tcPr>
          <w:p>
            <w:r/>
            <w:r>
              <w:rPr>
                <w:b/>
                <w:sz w:val="19"/>
              </w:rPr>
              <w:t>Feature in the system</w:t>
            </w:r>
          </w:p>
        </w:tc>
        <w:tc>
          <w:tcPr>
            <w:tcW w:type="dxa" w:w="4464"/>
          </w:tcPr>
          <w:p>
            <w:r/>
            <w:r>
              <w:rPr>
                <w:b/>
                <w:sz w:val="19"/>
              </w:rPr>
              <w:t>Paper status</w:t>
            </w:r>
          </w:p>
        </w:tc>
        <w:tc>
          <w:tcPr>
            <w:tcW w:type="dxa" w:w="1008"/>
          </w:tcPr>
          <w:p>
            <w:r/>
            <w:r>
              <w:rPr>
                <w:b/>
                <w:sz w:val="19"/>
              </w:rPr>
              <w:t>Flag</w:t>
            </w:r>
          </w:p>
        </w:tc>
      </w:tr>
      <w:tr>
        <w:tc>
          <w:tcPr>
            <w:tcW w:type="dxa" w:w="4176"/>
          </w:tcPr>
          <w:p>
            <w:r/>
            <w:r>
              <w:rPr>
                <w:sz w:val="19"/>
              </w:rPr>
              <w:t>Mandatory two-factor enrolment for privileged roles</w:t>
            </w:r>
          </w:p>
        </w:tc>
        <w:tc>
          <w:tcPr>
            <w:tcW w:type="dxa" w:w="4464"/>
          </w:tcPr>
          <w:p>
            <w:r/>
            <w:r>
              <w:rPr>
                <w:sz w:val="19"/>
              </w:rPr>
              <w:t>Not mentioned.</w:t>
            </w:r>
          </w:p>
        </w:tc>
        <w:tc>
          <w:tcPr>
            <w:tcW w:type="dxa" w:w="1008"/>
          </w:tcPr>
          <w:p>
            <w:r/>
            <w:r>
              <w:rPr>
                <w:sz w:val="19"/>
              </w:rPr>
              <w:t>[MED]</w:t>
            </w:r>
          </w:p>
        </w:tc>
      </w:tr>
      <w:tr>
        <w:tc>
          <w:tcPr>
            <w:tcW w:type="dxa" w:w="4176"/>
          </w:tcPr>
          <w:p>
            <w:r/>
            <w:r>
              <w:rPr>
                <w:sz w:val="19"/>
              </w:rPr>
              <w:t>Idle session timeout, shorter for privileged roles</w:t>
            </w:r>
          </w:p>
        </w:tc>
        <w:tc>
          <w:tcPr>
            <w:tcW w:type="dxa" w:w="4464"/>
          </w:tcPr>
          <w:p>
            <w:r/>
            <w:r>
              <w:rPr>
                <w:sz w:val="19"/>
              </w:rPr>
              <w:t>Not mentioned.</w:t>
            </w:r>
          </w:p>
        </w:tc>
        <w:tc>
          <w:tcPr>
            <w:tcW w:type="dxa" w:w="1008"/>
          </w:tcPr>
          <w:p>
            <w:r/>
            <w:r>
              <w:rPr>
                <w:sz w:val="19"/>
              </w:rPr>
              <w:t>[LOW]</w:t>
            </w:r>
          </w:p>
        </w:tc>
      </w:tr>
      <w:tr>
        <w:tc>
          <w:tcPr>
            <w:tcW w:type="dxa" w:w="4176"/>
          </w:tcPr>
          <w:p>
            <w:r/>
            <w:r>
              <w:rPr>
                <w:sz w:val="19"/>
              </w:rPr>
              <w:t>Forced password change on provisioned accounts</w:t>
            </w:r>
          </w:p>
        </w:tc>
        <w:tc>
          <w:tcPr>
            <w:tcW w:type="dxa" w:w="4464"/>
          </w:tcPr>
          <w:p>
            <w:r/>
            <w:r>
              <w:rPr>
                <w:sz w:val="19"/>
              </w:rPr>
              <w:t>Not mentioned.</w:t>
            </w:r>
          </w:p>
        </w:tc>
        <w:tc>
          <w:tcPr>
            <w:tcW w:type="dxa" w:w="1008"/>
          </w:tcPr>
          <w:p>
            <w:r/>
            <w:r>
              <w:rPr>
                <w:sz w:val="19"/>
              </w:rPr>
              <w:t>[LOW]</w:t>
            </w:r>
          </w:p>
        </w:tc>
      </w:tr>
      <w:tr>
        <w:tc>
          <w:tcPr>
            <w:tcW w:type="dxa" w:w="4176"/>
          </w:tcPr>
          <w:p>
            <w:r/>
            <w:r>
              <w:rPr>
                <w:sz w:val="19"/>
              </w:rPr>
              <w:t>Break-glass emergency recovery for a locked-out clinic</w:t>
            </w:r>
          </w:p>
        </w:tc>
        <w:tc>
          <w:tcPr>
            <w:tcW w:type="dxa" w:w="4464"/>
          </w:tcPr>
          <w:p>
            <w:r/>
            <w:r>
              <w:rPr>
                <w:sz w:val="19"/>
              </w:rPr>
              <w:t>Not mentioned.</w:t>
            </w:r>
          </w:p>
        </w:tc>
        <w:tc>
          <w:tcPr>
            <w:tcW w:type="dxa" w:w="1008"/>
          </w:tcPr>
          <w:p>
            <w:r/>
            <w:r>
              <w:rPr>
                <w:sz w:val="19"/>
              </w:rPr>
              <w:t>[MED]</w:t>
            </w:r>
          </w:p>
        </w:tc>
      </w:tr>
      <w:tr>
        <w:tc>
          <w:tcPr>
            <w:tcW w:type="dxa" w:w="4176"/>
          </w:tcPr>
          <w:p>
            <w:r/>
            <w:r>
              <w:rPr>
                <w:sz w:val="19"/>
              </w:rPr>
              <w:t>Capability-based permission vocabulary beneath the role names</w:t>
            </w:r>
          </w:p>
        </w:tc>
        <w:tc>
          <w:tcPr>
            <w:tcW w:type="dxa" w:w="4464"/>
          </w:tcPr>
          <w:p>
            <w:r/>
            <w:r>
              <w:rPr>
                <w:sz w:val="19"/>
              </w:rPr>
              <w:t>The paper describes roles only, never capabilities.</w:t>
            </w:r>
          </w:p>
        </w:tc>
        <w:tc>
          <w:tcPr>
            <w:tcW w:type="dxa" w:w="1008"/>
          </w:tcPr>
          <w:p>
            <w:r/>
            <w:r>
              <w:rPr>
                <w:sz w:val="19"/>
              </w:rPr>
              <w:t>[MED]</w:t>
            </w:r>
          </w:p>
        </w:tc>
      </w:tr>
      <w:tr>
        <w:tc>
          <w:tcPr>
            <w:tcW w:type="dxa" w:w="4176"/>
          </w:tcPr>
          <w:p>
            <w:r/>
            <w:r>
              <w:rPr>
                <w:sz w:val="19"/>
              </w:rPr>
              <w:t>Authentication audit trail (login, logout, failed attempt, password reset)</w:t>
            </w:r>
          </w:p>
        </w:tc>
        <w:tc>
          <w:tcPr>
            <w:tcW w:type="dxa" w:w="4464"/>
          </w:tcPr>
          <w:p>
            <w:r/>
            <w:r>
              <w:rPr>
                <w:sz w:val="19"/>
              </w:rPr>
              <w:t>The paper's Activity Log covers record changes, not sign-in events.</w:t>
            </w:r>
          </w:p>
        </w:tc>
        <w:tc>
          <w:tcPr>
            <w:tcW w:type="dxa" w:w="1008"/>
          </w:tcPr>
          <w:p>
            <w:r/>
            <w:r>
              <w:rPr>
                <w:sz w:val="19"/>
              </w:rPr>
              <w:t>[LOW]</w:t>
            </w:r>
          </w:p>
        </w:tc>
      </w:tr>
      <w:tr>
        <w:tc>
          <w:tcPr>
            <w:tcW w:type="dxa" w:w="4176"/>
          </w:tcPr>
          <w:p>
            <w:r/>
            <w:r>
              <w:rPr>
                <w:sz w:val="19"/>
              </w:rPr>
              <w:t>Active browser session management and sign-out-everywhere-else</w:t>
            </w:r>
          </w:p>
        </w:tc>
        <w:tc>
          <w:tcPr>
            <w:tcW w:type="dxa" w:w="4464"/>
          </w:tcPr>
          <w:p>
            <w:r/>
            <w:r>
              <w:rPr>
                <w:sz w:val="19"/>
              </w:rPr>
              <w:t>Not mentioned.</w:t>
            </w:r>
          </w:p>
        </w:tc>
        <w:tc>
          <w:tcPr>
            <w:tcW w:type="dxa" w:w="1008"/>
          </w:tcPr>
          <w:p>
            <w:r/>
            <w:r>
              <w:rPr>
                <w:sz w:val="19"/>
              </w:rPr>
              <w:t>[LOW]</w:t>
            </w:r>
          </w:p>
        </w:tc>
      </w:tr>
      <w:tr>
        <w:tc>
          <w:tcPr>
            <w:tcW w:type="dxa" w:w="4176"/>
          </w:tcPr>
          <w:p>
            <w:r/>
            <w:r>
              <w:rPr>
                <w:sz w:val="19"/>
              </w:rPr>
              <w:t>Security headers on every response; branded error pages</w:t>
            </w:r>
          </w:p>
        </w:tc>
        <w:tc>
          <w:tcPr>
            <w:tcW w:type="dxa" w:w="4464"/>
          </w:tcPr>
          <w:p>
            <w:r/>
            <w:r>
              <w:rPr>
                <w:sz w:val="19"/>
              </w:rPr>
              <w:t>Not mentioned.</w:t>
            </w:r>
          </w:p>
        </w:tc>
        <w:tc>
          <w:tcPr>
            <w:tcW w:type="dxa" w:w="1008"/>
          </w:tcPr>
          <w:p>
            <w:r/>
            <w:r>
              <w:rPr>
                <w:sz w:val="19"/>
              </w:rPr>
              <w:t>[LOW]</w:t>
            </w:r>
          </w:p>
        </w:tc>
      </w:tr>
      <w:tr>
        <w:tc>
          <w:tcPr>
            <w:tcW w:type="dxa" w:w="4176"/>
          </w:tcPr>
          <w:p>
            <w:r/>
            <w:r>
              <w:rPr>
                <w:sz w:val="19"/>
              </w:rPr>
              <w:t>Notification preference matrix, five categories by two channels</w:t>
            </w:r>
          </w:p>
        </w:tc>
        <w:tc>
          <w:tcPr>
            <w:tcW w:type="dxa" w:w="4464"/>
          </w:tcPr>
          <w:p>
            <w:r/>
            <w:r>
              <w:rPr>
                <w:sz w:val="19"/>
              </w:rPr>
              <w:t>Not mentioned.</w:t>
            </w:r>
          </w:p>
        </w:tc>
        <w:tc>
          <w:tcPr>
            <w:tcW w:type="dxa" w:w="1008"/>
          </w:tcPr>
          <w:p>
            <w:r/>
            <w:r>
              <w:rPr>
                <w:sz w:val="19"/>
              </w:rPr>
              <w:t>[LOW]</w:t>
            </w:r>
          </w:p>
        </w:tc>
      </w:tr>
      <w:tr>
        <w:tc>
          <w:tcPr>
            <w:tcW w:type="dxa" w:w="4176"/>
          </w:tcPr>
          <w:p>
            <w:r/>
            <w:r>
              <w:rPr>
                <w:sz w:val="19"/>
              </w:rPr>
              <w:t>RA 10173 data export (JSON) and account closure</w:t>
            </w:r>
          </w:p>
        </w:tc>
        <w:tc>
          <w:tcPr>
            <w:tcW w:type="dxa" w:w="4464"/>
          </w:tcPr>
          <w:p>
            <w:r/>
            <w:r>
              <w:rPr>
                <w:sz w:val="19"/>
              </w:rPr>
              <w:t>Not mentioned.</w:t>
            </w:r>
          </w:p>
        </w:tc>
        <w:tc>
          <w:tcPr>
            <w:tcW w:type="dxa" w:w="1008"/>
          </w:tcPr>
          <w:p>
            <w:r/>
            <w:r>
              <w:rPr>
                <w:sz w:val="19"/>
              </w:rPr>
              <w:t>[MED]</w:t>
            </w:r>
          </w:p>
        </w:tc>
      </w:tr>
    </w:tbl>
    <w:p>
      <w:pPr>
        <w:spacing w:after="40"/>
      </w:pPr>
    </w:p>
    <w:p>
      <w:pPr>
        <w:pStyle w:val="Heading2"/>
      </w:pPr>
      <w:r>
        <w:t>2.3  Engineering strengths the paper gives away for free</w:t>
      </w:r>
    </w:p>
    <w:p>
      <w:pPr>
        <w:spacing w:after="120"/>
      </w:pPr>
      <w:r>
        <w:rPr>
          <w:b w:val="0"/>
          <w:i w:val="0"/>
        </w:rPr>
        <w:t>These are already built, already tested, and would earn credit if described. The paper currently describes none of them.</w:t>
      </w:r>
    </w:p>
    <w:p>
      <w:pPr>
        <w:pStyle w:val="ListBullet"/>
        <w:spacing w:after="60"/>
        <w:ind w:left="360"/>
      </w:pPr>
      <w:r>
        <w:t>Guarantor and patient separation. One account booking for a parent and two children produces three independent medical records, deduplicated on name and contact number. The Scope describes the behaviour in prose but no diagram models it.</w:t>
      </w:r>
    </w:p>
    <w:p>
      <w:pPr>
        <w:pStyle w:val="ListBullet"/>
        <w:spacing w:after="60"/>
        <w:ind w:left="360"/>
      </w:pPr>
      <w:r>
        <w:t>Concurrency control on booking. The booking transaction takes row locks on both the slot and the per-patient conflict check, retries three times, applies a ten-minute soft hold, and is backed by a unique active-slot index. This is a direct, mechanical answer to Table 8's 'double booking or invalid schedule' case, which the paper currently answers with nothing.</w:t>
      </w:r>
    </w:p>
    <w:p>
      <w:pPr>
        <w:pStyle w:val="ListBullet"/>
        <w:spacing w:after="60"/>
        <w:ind w:left="360"/>
      </w:pPr>
      <w:r>
        <w:t>Availability model — weekly recurrence with date-specific overrides, full-day blackouts, a five-minute inter-slot buffer, a two-hour minimum lead time, a three-month horizon and a sixty-second slot cache.</w:t>
      </w:r>
    </w:p>
    <w:p>
      <w:pPr>
        <w:pStyle w:val="ListBullet"/>
        <w:spacing w:after="60"/>
        <w:ind w:left="360"/>
      </w:pPr>
      <w:r>
        <w:t>Laboratory chain of custody. Each result carries requested-by, recorded-by and reviewed-by with a timestamp per transition — a complete doctor to nurse to doctor trail.</w:t>
      </w:r>
    </w:p>
    <w:p>
      <w:pPr>
        <w:pStyle w:val="ListBullet"/>
        <w:spacing w:after="60"/>
        <w:ind w:left="360"/>
      </w:pPr>
      <w:r>
        <w:t>The test suite itself. Roughly 1,244 passing tests across 95 test files, including double-booking, daily-cap, availability, laboratory workflow and access-control tests. Chapter 3's testing section cites none of it.</w:t>
      </w:r>
    </w:p>
    <w:p>
      <w:r>
        <w:br w:type="page"/>
      </w:r>
    </w:p>
    <w:p>
      <w:pPr>
        <w:pStyle w:val="Heading1"/>
      </w:pPr>
      <w:r>
        <w:t>Part 3 — Where the system and the paper contradict each other</w:t>
      </w:r>
    </w:p>
    <w:p>
      <w:pPr>
        <w:spacing w:after="120"/>
      </w:pPr>
      <w:r>
        <w:rPr>
          <w:b w:val="0"/>
          <w:i w:val="0"/>
        </w:rPr>
        <w:t>These are not omissions. In each case the paper makes a positive statement and the system does something different.</w:t>
      </w:r>
    </w:p>
    <w:tbl>
      <w:tblPr>
        <w:tblStyle w:val="TableGrid"/>
        <w:tblW w:type="auto" w:w="0"/>
        <w:jc w:val="left"/>
        <w:tblLook w:firstColumn="1" w:firstRow="1" w:lastColumn="0" w:lastRow="0" w:noHBand="0" w:noVBand="1" w:val="04A0"/>
      </w:tblPr>
      <w:tblGrid>
        <w:gridCol w:w="3264"/>
        <w:gridCol w:w="3264"/>
        <w:gridCol w:w="3264"/>
      </w:tblGrid>
      <w:tr>
        <w:tc>
          <w:tcPr>
            <w:tcW w:type="dxa" w:w="3744"/>
          </w:tcPr>
          <w:p>
            <w:r/>
            <w:r>
              <w:rPr>
                <w:b/>
                <w:sz w:val="19"/>
              </w:rPr>
              <w:t>The paper says</w:t>
            </w:r>
          </w:p>
        </w:tc>
        <w:tc>
          <w:tcPr>
            <w:tcW w:type="dxa" w:w="4896"/>
          </w:tcPr>
          <w:p>
            <w:r/>
            <w:r>
              <w:rPr>
                <w:b/>
                <w:sz w:val="19"/>
              </w:rPr>
              <w:t>The system does</w:t>
            </w:r>
          </w:p>
        </w:tc>
        <w:tc>
          <w:tcPr>
            <w:tcW w:type="dxa" w:w="1008"/>
          </w:tcPr>
          <w:p>
            <w:r/>
            <w:r>
              <w:rPr>
                <w:b/>
                <w:sz w:val="19"/>
              </w:rPr>
              <w:t>Flag</w:t>
            </w:r>
          </w:p>
        </w:tc>
      </w:tr>
      <w:tr>
        <w:tc>
          <w:tcPr>
            <w:tcW w:type="dxa" w:w="3744"/>
          </w:tcPr>
          <w:p>
            <w:r/>
            <w:r>
              <w:rPr>
                <w:sz w:val="19"/>
              </w:rPr>
              <w:t>Chapter 3, Agile Development phase: 'The system was developed using Next.js with TypeScript... Firestore (Firebase Database) was employed for backend data storage.'</w:t>
            </w:r>
          </w:p>
        </w:tc>
        <w:tc>
          <w:tcPr>
            <w:tcW w:type="dxa" w:w="4896"/>
          </w:tcPr>
          <w:p>
            <w:r/>
            <w:r>
              <w:rPr>
                <w:sz w:val="19"/>
              </w:rPr>
              <w:t>Laravel 12, Inertia 2, React 19 and MySQL. The same chapter says so two pages later. The Next.js and Firestore paragraph is leftover boilerplate and also duplicates its own opening clause.</w:t>
            </w:r>
          </w:p>
        </w:tc>
        <w:tc>
          <w:tcPr>
            <w:tcW w:type="dxa" w:w="1008"/>
          </w:tcPr>
          <w:p>
            <w:r/>
            <w:r>
              <w:rPr>
                <w:sz w:val="19"/>
              </w:rPr>
              <w:t>[HIGH]</w:t>
            </w:r>
          </w:p>
        </w:tc>
      </w:tr>
      <w:tr>
        <w:tc>
          <w:tcPr>
            <w:tcW w:type="dxa" w:w="3744"/>
          </w:tcPr>
          <w:p>
            <w:r/>
            <w:r>
              <w:rPr>
                <w:sz w:val="19"/>
              </w:rPr>
              <w:t>Tables 3, 5 and 6 record a Test Result of 'Pass' for patient lab results, LOA status, video consultation, nurse record access, nurse record update, appointment monitoring, user CRUD, reports, and LOA email to HMO.</w:t>
            </w:r>
          </w:p>
        </w:tc>
        <w:tc>
          <w:tcPr>
            <w:tcW w:type="dxa" w:w="4896"/>
          </w:tcPr>
          <w:p>
            <w:r/>
            <w:r>
              <w:rPr>
                <w:sz w:val="19"/>
              </w:rPr>
              <w:t>Several of those features did not exist when the tables were written. Table 7's result column is entirely blank and Table 8 has no result column at all. This is the most serious integrity risk in the document.</w:t>
            </w:r>
          </w:p>
        </w:tc>
        <w:tc>
          <w:tcPr>
            <w:tcW w:type="dxa" w:w="1008"/>
          </w:tcPr>
          <w:p>
            <w:r/>
            <w:r>
              <w:rPr>
                <w:sz w:val="19"/>
              </w:rPr>
              <w:t>[HIGH]</w:t>
            </w:r>
          </w:p>
        </w:tc>
      </w:tr>
      <w:tr>
        <w:tc>
          <w:tcPr>
            <w:tcW w:type="dxa" w:w="3744"/>
          </w:tcPr>
          <w:p>
            <w:r/>
            <w:r>
              <w:rPr>
                <w:sz w:val="19"/>
              </w:rPr>
              <w:t>Figure 7 caption: 'a single user account... each user is associated with one complete patient profile and one set of medical data.'</w:t>
            </w:r>
          </w:p>
        </w:tc>
        <w:tc>
          <w:tcPr>
            <w:tcW w:type="dxa" w:w="4896"/>
          </w:tcPr>
          <w:p>
            <w:r/>
            <w:r>
              <w:rPr>
                <w:sz w:val="19"/>
              </w:rPr>
              <w:t>One account may hold many patient records — that is the guarantor model, and Figure 7's own image supports it, carrying both a user id and a patient id on the appointment entity. The caption contradicts the diagram above it, not just the code.</w:t>
            </w:r>
          </w:p>
        </w:tc>
        <w:tc>
          <w:tcPr>
            <w:tcW w:type="dxa" w:w="1008"/>
          </w:tcPr>
          <w:p>
            <w:r/>
            <w:r>
              <w:rPr>
                <w:sz w:val="19"/>
              </w:rPr>
              <w:t>[HIGH]</w:t>
            </w:r>
          </w:p>
        </w:tc>
      </w:tr>
      <w:tr>
        <w:tc>
          <w:tcPr>
            <w:tcW w:type="dxa" w:w="3744"/>
          </w:tcPr>
          <w:p>
            <w:r/>
            <w:r>
              <w:rPr>
                <w:sz w:val="19"/>
              </w:rPr>
              <w:t>Figure 7 types every column as bigint — including full name, email, password, findings, test date and meeting link.</w:t>
            </w:r>
          </w:p>
        </w:tc>
        <w:tc>
          <w:tcPr>
            <w:tcW w:type="dxa" w:w="4896"/>
          </w:tcPr>
          <w:p>
            <w:r/>
            <w:r>
              <w:rPr>
                <w:sz w:val="19"/>
              </w:rPr>
              <w:t>These are strings, text and datetimes. This is an uncorrected drawSQL default.</w:t>
            </w:r>
          </w:p>
        </w:tc>
        <w:tc>
          <w:tcPr>
            <w:tcW w:type="dxa" w:w="1008"/>
          </w:tcPr>
          <w:p>
            <w:r/>
            <w:r>
              <w:rPr>
                <w:sz w:val="19"/>
              </w:rPr>
              <w:t>[HIGH]</w:t>
            </w:r>
          </w:p>
        </w:tc>
      </w:tr>
      <w:tr>
        <w:tc>
          <w:tcPr>
            <w:tcW w:type="dxa" w:w="3744"/>
          </w:tcPr>
          <w:p>
            <w:r/>
            <w:r>
              <w:rPr>
                <w:sz w:val="19"/>
              </w:rPr>
              <w:t>Figure 7 models doctor and staff nurse as standalone tables, and has no account table at all. Figures 9 and 10 both reference a USER store.</w:t>
            </w:r>
          </w:p>
        </w:tc>
        <w:tc>
          <w:tcPr>
            <w:tcW w:type="dxa" w:w="4896"/>
          </w:tcPr>
          <w:p>
            <w:r/>
            <w:r>
              <w:rPr>
                <w:sz w:val="19"/>
              </w:rPr>
              <w:t>Doctors and nurses are users rows with an assigned role, plus a doctor_profiles row for display data. The ERD contradicts the DFDs on this point independently of the code.</w:t>
            </w:r>
          </w:p>
        </w:tc>
        <w:tc>
          <w:tcPr>
            <w:tcW w:type="dxa" w:w="1008"/>
          </w:tcPr>
          <w:p>
            <w:r/>
            <w:r>
              <w:rPr>
                <w:sz w:val="19"/>
              </w:rPr>
              <w:t>[MED]</w:t>
            </w:r>
          </w:p>
        </w:tc>
      </w:tr>
      <w:tr>
        <w:tc>
          <w:tcPr>
            <w:tcW w:type="dxa" w:w="3744"/>
          </w:tcPr>
          <w:p>
            <w:r/>
            <w:r>
              <w:rPr>
                <w:sz w:val="19"/>
              </w:rPr>
              <w:t>Figure 7 has a 'virtual consultation' table with meeting link, platform, doctor notes and consultation status.</w:t>
            </w:r>
          </w:p>
        </w:tc>
        <w:tc>
          <w:tcPr>
            <w:tcW w:type="dxa" w:w="4896"/>
          </w:tcPr>
          <w:p>
            <w:r/>
            <w:r>
              <w:rPr>
                <w:sz w:val="19"/>
              </w:rPr>
              <w:t>No such table. Consultation sessions and WebRTC signalling are modelled differently, and there is no external meeting link or third-party platform — the call is in-app.</w:t>
            </w:r>
          </w:p>
        </w:tc>
        <w:tc>
          <w:tcPr>
            <w:tcW w:type="dxa" w:w="1008"/>
          </w:tcPr>
          <w:p>
            <w:r/>
            <w:r>
              <w:rPr>
                <w:sz w:val="19"/>
              </w:rPr>
              <w:t>[MED]</w:t>
            </w:r>
          </w:p>
        </w:tc>
      </w:tr>
      <w:tr>
        <w:tc>
          <w:tcPr>
            <w:tcW w:type="dxa" w:w="3744"/>
          </w:tcPr>
          <w:p>
            <w:r/>
            <w:r>
              <w:rPr>
                <w:sz w:val="19"/>
              </w:rPr>
              <w:t>Figure 7 splits lab test from lab test result, and carries a file path for a scanned result document.</w:t>
            </w:r>
          </w:p>
        </w:tc>
        <w:tc>
          <w:tcPr>
            <w:tcW w:type="dxa" w:w="4896"/>
          </w:tcPr>
          <w:p>
            <w:r/>
            <w:r>
              <w:rPr>
                <w:sz w:val="19"/>
              </w:rPr>
              <w:t>One row per ordered test plus N measured parameters. The code's split is the better design, but the ERD's scanned-document file path has no equivalent.</w:t>
            </w:r>
          </w:p>
        </w:tc>
        <w:tc>
          <w:tcPr>
            <w:tcW w:type="dxa" w:w="1008"/>
          </w:tcPr>
          <w:p>
            <w:r/>
            <w:r>
              <w:rPr>
                <w:sz w:val="19"/>
              </w:rPr>
              <w:t>[LOW]</w:t>
            </w:r>
          </w:p>
        </w:tc>
      </w:tr>
      <w:tr>
        <w:tc>
          <w:tcPr>
            <w:tcW w:type="dxa" w:w="3744"/>
          </w:tcPr>
          <w:p>
            <w:r/>
            <w:r>
              <w:rPr>
                <w:sz w:val="19"/>
              </w:rPr>
              <w:t>Scope, verbatim: a doctor sees a maximum of five patients per day.</w:t>
            </w:r>
          </w:p>
        </w:tc>
        <w:tc>
          <w:tcPr>
            <w:tcW w:type="dxa" w:w="4896"/>
          </w:tcPr>
          <w:p>
            <w:r/>
            <w:r>
              <w:rPr>
                <w:sz w:val="19"/>
              </w:rPr>
              <w:t>Five is the default, not the rule. Each doctor carries a configurable daily cap, so a doctor may be set to any number. The paper states a fixed limit the system treats as a starting value.</w:t>
            </w:r>
          </w:p>
        </w:tc>
        <w:tc>
          <w:tcPr>
            <w:tcW w:type="dxa" w:w="1008"/>
          </w:tcPr>
          <w:p>
            <w:r/>
            <w:r>
              <w:rPr>
                <w:sz w:val="19"/>
              </w:rPr>
              <w:t>[MED]</w:t>
            </w:r>
          </w:p>
        </w:tc>
      </w:tr>
      <w:tr>
        <w:tc>
          <w:tcPr>
            <w:tcW w:type="dxa" w:w="3744"/>
          </w:tcPr>
          <w:p>
            <w:r/>
            <w:r>
              <w:rPr>
                <w:sz w:val="19"/>
              </w:rPr>
              <w:t>The Scope treats Admin and HR as one combined role. Figure 3 labels the actor 'ADMIN' while its own caption says 'System Administrator' and Figure 4 says 'Admin\HR'.</w:t>
            </w:r>
          </w:p>
        </w:tc>
        <w:tc>
          <w:tcPr>
            <w:tcW w:type="dxa" w:w="4896"/>
          </w:tcPr>
          <w:p>
            <w:r/>
            <w:r>
              <w:rPr>
                <w:sz w:val="19"/>
              </w:rPr>
              <w:t>Admin and HR are two separate roles with different permissions — and HR alone decides LOAs, deliberately, as a separation-of-duties control.</w:t>
            </w:r>
          </w:p>
        </w:tc>
        <w:tc>
          <w:tcPr>
            <w:tcW w:type="dxa" w:w="1008"/>
          </w:tcPr>
          <w:p>
            <w:r/>
            <w:r>
              <w:rPr>
                <w:sz w:val="19"/>
              </w:rPr>
              <w:t>[MED]</w:t>
            </w:r>
          </w:p>
        </w:tc>
      </w:tr>
      <w:tr>
        <w:tc>
          <w:tcPr>
            <w:tcW w:type="dxa" w:w="3744"/>
          </w:tcPr>
          <w:p>
            <w:r/>
            <w:r>
              <w:rPr>
                <w:sz w:val="19"/>
              </w:rPr>
              <w:t>Figure 10 documents five staff nurse processes.</w:t>
            </w:r>
          </w:p>
        </w:tc>
        <w:tc>
          <w:tcPr>
            <w:tcW w:type="dxa" w:w="4896"/>
          </w:tcPr>
          <w:p>
            <w:r/>
            <w:r>
              <w:rPr>
                <w:sz w:val="19"/>
              </w:rPr>
              <w:t>Five processes plus a nurse dashboard and a daily appointment monitor. The extra two are in the Scope prose but not in the figure.</w:t>
            </w:r>
          </w:p>
        </w:tc>
        <w:tc>
          <w:tcPr>
            <w:tcW w:type="dxa" w:w="1008"/>
          </w:tcPr>
          <w:p>
            <w:r/>
            <w:r>
              <w:rPr>
                <w:sz w:val="19"/>
              </w:rPr>
              <w:t>[LOW]</w:t>
            </w:r>
          </w:p>
        </w:tc>
      </w:tr>
      <w:tr>
        <w:tc>
          <w:tcPr>
            <w:tcW w:type="dxa" w:w="3744"/>
          </w:tcPr>
          <w:p>
            <w:r/>
            <w:r>
              <w:rPr>
                <w:sz w:val="19"/>
              </w:rPr>
              <w:t>Definition of Terms defines XAMPP.</w:t>
            </w:r>
          </w:p>
        </w:tc>
        <w:tc>
          <w:tcPr>
            <w:tcW w:type="dxa" w:w="4896"/>
          </w:tcPr>
          <w:p>
            <w:r/>
            <w:r>
              <w:rPr>
                <w:sz w:val="19"/>
              </w:rPr>
              <w:t>The project runs on Laravel's development server with Vite and MySQL. XAMPP is not used.</w:t>
            </w:r>
          </w:p>
        </w:tc>
        <w:tc>
          <w:tcPr>
            <w:tcW w:type="dxa" w:w="1008"/>
          </w:tcPr>
          <w:p>
            <w:r/>
            <w:r>
              <w:rPr>
                <w:sz w:val="19"/>
              </w:rPr>
              <w:t>[LOW]</w:t>
            </w:r>
          </w:p>
        </w:tc>
      </w:tr>
      <w:tr>
        <w:tc>
          <w:tcPr>
            <w:tcW w:type="dxa" w:w="3744"/>
          </w:tcPr>
          <w:p>
            <w:r/>
            <w:r>
              <w:rPr>
                <w:sz w:val="19"/>
              </w:rPr>
              <w:t>Definition of Terms defines Comparative Analysis as a method used in the study to compare clinic processes before and after implementation.</w:t>
            </w:r>
          </w:p>
        </w:tc>
        <w:tc>
          <w:tcPr>
            <w:tcW w:type="dxa" w:w="4896"/>
          </w:tcPr>
          <w:p>
            <w:r/>
            <w:r>
              <w:rPr>
                <w:sz w:val="19"/>
              </w:rPr>
              <w:t>Chapter 3 states the study focused solely on qualitative data and describes no such comparison.</w:t>
            </w:r>
          </w:p>
        </w:tc>
        <w:tc>
          <w:tcPr>
            <w:tcW w:type="dxa" w:w="1008"/>
          </w:tcPr>
          <w:p>
            <w:r/>
            <w:r>
              <w:rPr>
                <w:sz w:val="19"/>
              </w:rPr>
              <w:t>[MED]</w:t>
            </w:r>
          </w:p>
        </w:tc>
      </w:tr>
      <w:tr>
        <w:tc>
          <w:tcPr>
            <w:tcW w:type="dxa" w:w="3744"/>
          </w:tcPr>
          <w:p>
            <w:r/>
            <w:r>
              <w:rPr>
                <w:sz w:val="19"/>
              </w:rPr>
              <w:t>Objective 3 specifies an Intel Core i3, 5th generation or higher.</w:t>
            </w:r>
          </w:p>
        </w:tc>
        <w:tc>
          <w:tcPr>
            <w:tcW w:type="dxa" w:w="4896"/>
          </w:tcPr>
          <w:p>
            <w:r/>
            <w:r>
              <w:rPr>
                <w:sz w:val="19"/>
              </w:rPr>
              <w:t>Table 1 lists an i5-6200U. The i5 does satisfy the objective, so this is cosmetic — but the objective and the table should still agree.</w:t>
            </w:r>
          </w:p>
        </w:tc>
        <w:tc>
          <w:tcPr>
            <w:tcW w:type="dxa" w:w="1008"/>
          </w:tcPr>
          <w:p>
            <w:r/>
            <w:r>
              <w:rPr>
                <w:sz w:val="19"/>
              </w:rPr>
              <w:t>[LOW]</w:t>
            </w:r>
          </w:p>
        </w:tc>
      </w:tr>
    </w:tbl>
    <w:p>
      <w:pPr>
        <w:spacing w:after="40"/>
      </w:pPr>
    </w:p>
    <w:p>
      <w:r>
        <w:br w:type="page"/>
      </w:r>
    </w:p>
    <w:p>
      <w:pPr>
        <w:pStyle w:val="Heading1"/>
      </w:pPr>
      <w:r>
        <w:t>Part 4 — In the paper, not in the system</w:t>
      </w:r>
    </w:p>
    <w:p>
      <w:pPr>
        <w:spacing w:after="120"/>
      </w:pPr>
      <w:r>
        <w:rPr>
          <w:b w:val="0"/>
          <w:i w:val="0"/>
        </w:rPr>
        <w:t>The inverse gap. These are promised in the document and are not built.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736"/>
          </w:tcPr>
          <w:p>
            <w:r/>
            <w:r>
              <w:rPr>
                <w:b/>
                <w:sz w:val="19"/>
              </w:rPr>
              <w:t>Promised</w:t>
            </w:r>
          </w:p>
        </w:tc>
        <w:tc>
          <w:tcPr>
            <w:tcW w:type="dxa" w:w="2448"/>
          </w:tcPr>
          <w:p>
            <w:r/>
            <w:r>
              <w:rPr>
                <w:b/>
                <w:sz w:val="19"/>
              </w:rPr>
              <w:t>Where</w:t>
            </w:r>
          </w:p>
        </w:tc>
        <w:tc>
          <w:tcPr>
            <w:tcW w:type="dxa" w:w="3456"/>
          </w:tcPr>
          <w:p>
            <w:r/>
            <w:r>
              <w:rPr>
                <w:b/>
                <w:sz w:val="19"/>
              </w:rPr>
              <w:t>Status</w:t>
            </w:r>
          </w:p>
        </w:tc>
        <w:tc>
          <w:tcPr>
            <w:tcW w:type="dxa" w:w="1008"/>
          </w:tcPr>
          <w:p>
            <w:r/>
            <w:r>
              <w:rPr>
                <w:b/>
                <w:sz w:val="19"/>
              </w:rPr>
              <w:t>Flag</w:t>
            </w:r>
          </w:p>
        </w:tc>
      </w:tr>
      <w:tr>
        <w:tc>
          <w:tcPr>
            <w:tcW w:type="dxa" w:w="2736"/>
          </w:tcPr>
          <w:p>
            <w:r/>
            <w:r>
              <w:rPr>
                <w:sz w:val="19"/>
              </w:rPr>
              <w:t>ISO 25010 evaluation on five criteria, across all four roles, with a questionnaire</w:t>
            </w:r>
          </w:p>
        </w:tc>
        <w:tc>
          <w:tcPr>
            <w:tcW w:type="dxa" w:w="2448"/>
          </w:tcPr>
          <w:p>
            <w:r/>
            <w:r>
              <w:rPr>
                <w:sz w:val="19"/>
              </w:rPr>
              <w:t>Objective 4; Chapter 3, System Evaluation Procedures</w:t>
            </w:r>
          </w:p>
        </w:tc>
        <w:tc>
          <w:tcPr>
            <w:tcW w:type="dxa" w:w="3456"/>
          </w:tcPr>
          <w:p>
            <w:r/>
            <w:r>
              <w:rPr>
                <w:sz w:val="19"/>
              </w:rPr>
              <w:t>Not started. This is a graded objective and is not a build task — it needs evaluators recruited and scheduled. Booking evaluator time late is a common way capstones miss submission.</w:t>
            </w:r>
          </w:p>
        </w:tc>
        <w:tc>
          <w:tcPr>
            <w:tcW w:type="dxa" w:w="1008"/>
          </w:tcPr>
          <w:p>
            <w:r/>
            <w:r>
              <w:rPr>
                <w:sz w:val="19"/>
              </w:rPr>
              <w:t>[HIGH]</w:t>
            </w:r>
          </w:p>
        </w:tc>
      </w:tr>
      <w:tr>
        <w:tc>
          <w:tcPr>
            <w:tcW w:type="dxa" w:w="2736"/>
          </w:tcPr>
          <w:p>
            <w:r/>
            <w:r>
              <w:rPr>
                <w:sz w:val="19"/>
              </w:rPr>
              <w:t>Implementation plan — deployment, user manuals, training, monitored rollout, post-launch report</w:t>
            </w:r>
          </w:p>
        </w:tc>
        <w:tc>
          <w:tcPr>
            <w:tcW w:type="dxa" w:w="2448"/>
          </w:tcPr>
          <w:p>
            <w:r/>
            <w:r>
              <w:rPr>
                <w:sz w:val="19"/>
              </w:rPr>
              <w:t>Objective 5; Chapter 3, Agile Deployment and Launch phases</w:t>
            </w:r>
          </w:p>
        </w:tc>
        <w:tc>
          <w:tcPr>
            <w:tcW w:type="dxa" w:w="3456"/>
          </w:tcPr>
          <w:p>
            <w:r/>
            <w:r>
              <w:rPr>
                <w:sz w:val="19"/>
              </w:rPr>
              <w:t>Not started. Also graded, also not a build task.</w:t>
            </w:r>
          </w:p>
        </w:tc>
        <w:tc>
          <w:tcPr>
            <w:tcW w:type="dxa" w:w="1008"/>
          </w:tcPr>
          <w:p>
            <w:r/>
            <w:r>
              <w:rPr>
                <w:sz w:val="19"/>
              </w:rPr>
              <w:t>[HIGH]</w:t>
            </w:r>
          </w:p>
        </w:tc>
      </w:tr>
      <w:tr>
        <w:tc>
          <w:tcPr>
            <w:tcW w:type="dxa" w:w="2736"/>
          </w:tcPr>
          <w:p>
            <w:r/>
            <w:r>
              <w:rPr>
                <w:sz w:val="19"/>
              </w:rPr>
              <w:t>Database backup</w:t>
            </w:r>
          </w:p>
        </w:tc>
        <w:tc>
          <w:tcPr>
            <w:tcW w:type="dxa" w:w="2448"/>
          </w:tcPr>
          <w:p>
            <w:r/>
            <w:r>
              <w:rPr>
                <w:sz w:val="19"/>
              </w:rPr>
              <w:t>Figure 4 (context diagram)</w:t>
            </w:r>
          </w:p>
        </w:tc>
        <w:tc>
          <w:tcPr>
            <w:tcW w:type="dxa" w:w="3456"/>
          </w:tcPr>
          <w:p>
            <w:r/>
            <w:r>
              <w:rPr>
                <w:sz w:val="19"/>
              </w:rPr>
              <w:t>Deliberately not built as a web feature. A backup button behind an authenticated web request is a liability. It is planned as a mysqldump runbook step instead — which needs to be stated in the paper rather than left looking like an omission.</w:t>
            </w:r>
          </w:p>
        </w:tc>
        <w:tc>
          <w:tcPr>
            <w:tcW w:type="dxa" w:w="1008"/>
          </w:tcPr>
          <w:p>
            <w:r/>
            <w:r>
              <w:rPr>
                <w:sz w:val="19"/>
              </w:rPr>
              <w:t>[MED]</w:t>
            </w:r>
          </w:p>
        </w:tc>
      </w:tr>
      <w:tr>
        <w:tc>
          <w:tcPr>
            <w:tcW w:type="dxa" w:w="2736"/>
          </w:tcPr>
          <w:p>
            <w:r/>
            <w:r>
              <w:rPr>
                <w:sz w:val="19"/>
              </w:rPr>
              <w:t>Virtual consultation as a graded objective</w:t>
            </w:r>
          </w:p>
        </w:tc>
        <w:tc>
          <w:tcPr>
            <w:tcW w:type="dxa" w:w="2448"/>
          </w:tcPr>
          <w:p>
            <w:r/>
            <w:r>
              <w:rPr>
                <w:sz w:val="19"/>
              </w:rPr>
              <w:t>Appears in eleven places: Chapter 1 Introduction, Project Context, Chapter 3 Requirement Analysis, Figures 3, 4, 7, 8 and 11, and Tables 3, 4, 7 and 8</w:t>
            </w:r>
          </w:p>
        </w:tc>
        <w:tc>
          <w:tcPr>
            <w:tcW w:type="dxa" w:w="3456"/>
          </w:tcPr>
          <w:p>
            <w:r/>
            <w:r>
              <w:rPr>
                <w:sz w:val="19"/>
              </w:rPr>
              <w:t>The feature is built and verified across two networks and two devices. The gap is the reverse of the others in this table: it appears in eleven places and in no objective and not in the Scope, so a panel grades none of it. Draft wording for a sub-objective 1.7 already exists in the build plan and needs only acceptance.</w:t>
            </w:r>
          </w:p>
        </w:tc>
        <w:tc>
          <w:tcPr>
            <w:tcW w:type="dxa" w:w="1008"/>
          </w:tcPr>
          <w:p>
            <w:r/>
            <w:r>
              <w:rPr>
                <w:sz w:val="19"/>
              </w:rPr>
              <w:t>[HIGH]</w:t>
            </w:r>
          </w:p>
        </w:tc>
      </w:tr>
      <w:tr>
        <w:tc>
          <w:tcPr>
            <w:tcW w:type="dxa" w:w="2736"/>
          </w:tcPr>
          <w:p>
            <w:r/>
            <w:r>
              <w:rPr>
                <w:sz w:val="19"/>
              </w:rPr>
              <w:t>Scanned laboratory result document (file path on the lab result entity)</w:t>
            </w:r>
          </w:p>
        </w:tc>
        <w:tc>
          <w:tcPr>
            <w:tcW w:type="dxa" w:w="2448"/>
          </w:tcPr>
          <w:p>
            <w:r/>
            <w:r>
              <w:rPr>
                <w:sz w:val="19"/>
              </w:rPr>
              <w:t>Figure 7 (ERD)</w:t>
            </w:r>
          </w:p>
        </w:tc>
        <w:tc>
          <w:tcPr>
            <w:tcW w:type="dxa" w:w="3456"/>
          </w:tcPr>
          <w:p>
            <w:r/>
            <w:r>
              <w:rPr>
                <w:sz w:val="19"/>
              </w:rPr>
              <w:t>Results are captured as structured parameters, not as an uploaded scan. Patient documents exist as a separate table.</w:t>
            </w:r>
          </w:p>
        </w:tc>
        <w:tc>
          <w:tcPr>
            <w:tcW w:type="dxa" w:w="1008"/>
          </w:tcPr>
          <w:p>
            <w:r/>
            <w:r>
              <w:rPr>
                <w:sz w:val="19"/>
              </w:rPr>
              <w:t>[LOW]</w:t>
            </w:r>
          </w:p>
        </w:tc>
      </w:tr>
    </w:tbl>
    <w:p>
      <w:pPr>
        <w:spacing w:after="40"/>
      </w:pPr>
    </w:p>
    <w:p>
      <w:r>
        <w:br w:type="page"/>
      </w:r>
    </w:p>
    <w:p>
      <w:pPr>
        <w:pStyle w:val="Heading1"/>
      </w:pPr>
      <w:r>
        <w:t>Part 5 — Defects inside the paper itself</w:t>
      </w:r>
    </w:p>
    <w:p>
      <w:pPr>
        <w:spacing w:after="120"/>
      </w:pPr>
      <w:r>
        <w:rPr>
          <w:b w:val="0"/>
          <w:i w:val="0"/>
        </w:rPr>
        <w:t>These need fixing regardless of what is built. They are internal inconsistencies — the document disagreeing with itself, not with the code.</w:t>
      </w:r>
    </w:p>
    <w:tbl>
      <w:tblPr>
        <w:tblStyle w:val="TableGrid"/>
        <w:tblW w:type="auto" w:w="0"/>
        <w:jc w:val="left"/>
        <w:tblLook w:firstColumn="1" w:firstRow="1" w:lastColumn="0" w:lastRow="0" w:noHBand="0" w:noVBand="1" w:val="04A0"/>
      </w:tblPr>
      <w:tblGrid>
        <w:gridCol w:w="3264"/>
        <w:gridCol w:w="3264"/>
        <w:gridCol w:w="3264"/>
      </w:tblGrid>
      <w:tr>
        <w:tc>
          <w:tcPr>
            <w:tcW w:type="dxa" w:w="576"/>
          </w:tcPr>
          <w:p>
            <w:r/>
            <w:r>
              <w:rPr>
                <w:b/>
                <w:sz w:val="19"/>
              </w:rPr>
              <w:t>#</w:t>
            </w:r>
          </w:p>
        </w:tc>
        <w:tc>
          <w:tcPr>
            <w:tcW w:type="dxa" w:w="8064"/>
          </w:tcPr>
          <w:p>
            <w:r/>
            <w:r>
              <w:rPr>
                <w:b/>
                <w:sz w:val="19"/>
              </w:rPr>
              <w:t>Defect</w:t>
            </w:r>
          </w:p>
        </w:tc>
        <w:tc>
          <w:tcPr>
            <w:tcW w:type="dxa" w:w="1008"/>
          </w:tcPr>
          <w:p>
            <w:r/>
            <w:r>
              <w:rPr>
                <w:b/>
                <w:sz w:val="19"/>
              </w:rPr>
              <w:t>Flag</w:t>
            </w:r>
          </w:p>
        </w:tc>
      </w:tr>
      <w:tr>
        <w:tc>
          <w:tcPr>
            <w:tcW w:type="dxa" w:w="576"/>
          </w:tcPr>
          <w:p>
            <w:r/>
            <w:r>
              <w:rPr>
                <w:sz w:val="19"/>
              </w:rPr>
              <w:t>1</w:t>
            </w:r>
          </w:p>
        </w:tc>
        <w:tc>
          <w:tcPr>
            <w:tcW w:type="dxa" w:w="8064"/>
          </w:tcPr>
          <w:p>
            <w:r/>
            <w:r>
              <w:rPr>
                <w:sz w:val="19"/>
              </w:rPr>
              <w:t>Chapter 3 contradicts itself on the technology stack — Next.js and Firestore in the Development phase, Laravel, React and MySQL two pages later. The paragraph also duplicates its own opening clause ('The system was developed using  The system was developed using').</w:t>
            </w:r>
          </w:p>
        </w:tc>
        <w:tc>
          <w:tcPr>
            <w:tcW w:type="dxa" w:w="1008"/>
          </w:tcPr>
          <w:p>
            <w:r/>
            <w:r>
              <w:rPr>
                <w:sz w:val="19"/>
              </w:rPr>
              <w:t>[HIGH]</w:t>
            </w:r>
          </w:p>
        </w:tc>
      </w:tr>
      <w:tr>
        <w:tc>
          <w:tcPr>
            <w:tcW w:type="dxa" w:w="576"/>
          </w:tcPr>
          <w:p>
            <w:r/>
            <w:r>
              <w:rPr>
                <w:sz w:val="19"/>
              </w:rPr>
              <w:t>2</w:t>
            </w:r>
          </w:p>
        </w:tc>
        <w:tc>
          <w:tcPr>
            <w:tcW w:type="dxa" w:w="8064"/>
          </w:tcPr>
          <w:p>
            <w:r/>
            <w:r>
              <w:rPr>
                <w:sz w:val="19"/>
              </w:rPr>
              <w:t>Tables 3, 5 and 6 report 'Pass' for features that were not built at the time. Table 7's Test Result column is entirely blank.</w:t>
            </w:r>
          </w:p>
        </w:tc>
        <w:tc>
          <w:tcPr>
            <w:tcW w:type="dxa" w:w="1008"/>
          </w:tcPr>
          <w:p>
            <w:r/>
            <w:r>
              <w:rPr>
                <w:sz w:val="19"/>
              </w:rPr>
              <w:t>[HIGH]</w:t>
            </w:r>
          </w:p>
        </w:tc>
      </w:tr>
      <w:tr>
        <w:tc>
          <w:tcPr>
            <w:tcW w:type="dxa" w:w="576"/>
          </w:tcPr>
          <w:p>
            <w:r/>
            <w:r>
              <w:rPr>
                <w:sz w:val="19"/>
              </w:rPr>
              <w:t>3</w:t>
            </w:r>
          </w:p>
        </w:tc>
        <w:tc>
          <w:tcPr>
            <w:tcW w:type="dxa" w:w="8064"/>
          </w:tcPr>
          <w:p>
            <w:r/>
            <w:r>
              <w:rPr>
                <w:sz w:val="19"/>
              </w:rPr>
              <w:t>Table 8's column headers are malformed — 'System Response' appears twice, there is no result or verdict column at all, and the table ends with a blank row. Table 8 currently proves nothing.</w:t>
            </w:r>
          </w:p>
        </w:tc>
        <w:tc>
          <w:tcPr>
            <w:tcW w:type="dxa" w:w="1008"/>
          </w:tcPr>
          <w:p>
            <w:r/>
            <w:r>
              <w:rPr>
                <w:sz w:val="19"/>
              </w:rPr>
              <w:t>[HIGH]</w:t>
            </w:r>
          </w:p>
        </w:tc>
      </w:tr>
      <w:tr>
        <w:tc>
          <w:tcPr>
            <w:tcW w:type="dxa" w:w="576"/>
          </w:tcPr>
          <w:p>
            <w:r/>
            <w:r>
              <w:rPr>
                <w:sz w:val="19"/>
              </w:rPr>
              <w:t>4</w:t>
            </w:r>
          </w:p>
        </w:tc>
        <w:tc>
          <w:tcPr>
            <w:tcW w:type="dxa" w:w="8064"/>
          </w:tcPr>
          <w:p>
            <w:r/>
            <w:r>
              <w:rPr>
                <w:sz w:val="19"/>
              </w:rPr>
              <w:t>Figure 7's caption describes a different diagram than Figure 7's image. The prose describes a single user account with one patient profile; the image contains no user table and models nine entities the prose never mentions.</w:t>
            </w:r>
          </w:p>
        </w:tc>
        <w:tc>
          <w:tcPr>
            <w:tcW w:type="dxa" w:w="1008"/>
          </w:tcPr>
          <w:p>
            <w:r/>
            <w:r>
              <w:rPr>
                <w:sz w:val="19"/>
              </w:rPr>
              <w:t>[HIGH]</w:t>
            </w:r>
          </w:p>
        </w:tc>
      </w:tr>
      <w:tr>
        <w:tc>
          <w:tcPr>
            <w:tcW w:type="dxa" w:w="576"/>
          </w:tcPr>
          <w:p>
            <w:r/>
            <w:r>
              <w:rPr>
                <w:sz w:val="19"/>
              </w:rPr>
              <w:t>5</w:t>
            </w:r>
          </w:p>
        </w:tc>
        <w:tc>
          <w:tcPr>
            <w:tcW w:type="dxa" w:w="8064"/>
          </w:tcPr>
          <w:p>
            <w:r/>
            <w:r>
              <w:rPr>
                <w:sz w:val="19"/>
              </w:rPr>
              <w:t>Every column in Figure 7 is typed bigint, including names, emails, passwords, findings and dates. An uncorrected drawSQL default.</w:t>
            </w:r>
          </w:p>
        </w:tc>
        <w:tc>
          <w:tcPr>
            <w:tcW w:type="dxa" w:w="1008"/>
          </w:tcPr>
          <w:p>
            <w:r/>
            <w:r>
              <w:rPr>
                <w:sz w:val="19"/>
              </w:rPr>
              <w:t>[HIGH]</w:t>
            </w:r>
          </w:p>
        </w:tc>
      </w:tr>
      <w:tr>
        <w:tc>
          <w:tcPr>
            <w:tcW w:type="dxa" w:w="576"/>
          </w:tcPr>
          <w:p>
            <w:r/>
            <w:r>
              <w:rPr>
                <w:sz w:val="19"/>
              </w:rPr>
              <w:t>6</w:t>
            </w:r>
          </w:p>
        </w:tc>
        <w:tc>
          <w:tcPr>
            <w:tcW w:type="dxa" w:w="8064"/>
          </w:tcPr>
          <w:p>
            <w:r/>
            <w:r>
              <w:rPr>
                <w:sz w:val="19"/>
              </w:rPr>
              <w:t>The branch name is spelled four different ways: 'Walter Dasmarinas' (title page, Chapters 2 and 3, and inside the Figure 4 image), 'WalterMart Dasmarinas' (Chapter 1), 'Waltermart Dasmarnas' (Project Context, missing a letter), and 'WallterMart' (Chapter 3, Launch). Figure captions use unaccented lowercase. The clinic's actual site is WalterMart Dasmarinas.</w:t>
            </w:r>
          </w:p>
        </w:tc>
        <w:tc>
          <w:tcPr>
            <w:tcW w:type="dxa" w:w="1008"/>
          </w:tcPr>
          <w:p>
            <w:r/>
            <w:r>
              <w:rPr>
                <w:sz w:val="19"/>
              </w:rPr>
              <w:t>[MED]</w:t>
            </w:r>
          </w:p>
        </w:tc>
      </w:tr>
      <w:tr>
        <w:tc>
          <w:tcPr>
            <w:tcW w:type="dxa" w:w="576"/>
          </w:tcPr>
          <w:p>
            <w:r/>
            <w:r>
              <w:rPr>
                <w:sz w:val="19"/>
              </w:rPr>
              <w:t>7</w:t>
            </w:r>
          </w:p>
        </w:tc>
        <w:tc>
          <w:tcPr>
            <w:tcW w:type="dxa" w:w="8064"/>
          </w:tcPr>
          <w:p>
            <w:r/>
            <w:r>
              <w:rPr>
                <w:sz w:val="19"/>
              </w:rPr>
              <w:t>Figure numbering collision — the Conceptual Framework and the Agile Lifecycle are both labelled Figure 1.</w:t>
            </w:r>
          </w:p>
        </w:tc>
        <w:tc>
          <w:tcPr>
            <w:tcW w:type="dxa" w:w="1008"/>
          </w:tcPr>
          <w:p>
            <w:r/>
            <w:r>
              <w:rPr>
                <w:sz w:val="19"/>
              </w:rPr>
              <w:t>[MED]</w:t>
            </w:r>
          </w:p>
        </w:tc>
      </w:tr>
      <w:tr>
        <w:tc>
          <w:tcPr>
            <w:tcW w:type="dxa" w:w="576"/>
          </w:tcPr>
          <w:p>
            <w:r/>
            <w:r>
              <w:rPr>
                <w:sz w:val="19"/>
              </w:rPr>
              <w:t>8</w:t>
            </w:r>
          </w:p>
        </w:tc>
        <w:tc>
          <w:tcPr>
            <w:tcW w:type="dxa" w:w="8064"/>
          </w:tcPr>
          <w:p>
            <w:r/>
            <w:r>
              <w:rPr>
                <w:sz w:val="19"/>
              </w:rPr>
              <w:t>The system title drifts between 'Patient Record Management System with Appointment Scheduling', 'Online Patient Record Management with Booking Appointment System' (Chapter 3, Research Approach), and '...with appointment booking' (figure captions).</w:t>
            </w:r>
          </w:p>
        </w:tc>
        <w:tc>
          <w:tcPr>
            <w:tcW w:type="dxa" w:w="1008"/>
          </w:tcPr>
          <w:p>
            <w:r/>
            <w:r>
              <w:rPr>
                <w:sz w:val="19"/>
              </w:rPr>
              <w:t>[MED]</w:t>
            </w:r>
          </w:p>
        </w:tc>
      </w:tr>
      <w:tr>
        <w:tc>
          <w:tcPr>
            <w:tcW w:type="dxa" w:w="576"/>
          </w:tcPr>
          <w:p>
            <w:r/>
            <w:r>
              <w:rPr>
                <w:sz w:val="19"/>
              </w:rPr>
              <w:t>9</w:t>
            </w:r>
          </w:p>
        </w:tc>
        <w:tc>
          <w:tcPr>
            <w:tcW w:type="dxa" w:w="8064"/>
          </w:tcPr>
          <w:p>
            <w:r/>
            <w:r>
              <w:rPr>
                <w:sz w:val="19"/>
              </w:rPr>
              <w:t>Tables 1 and 2 share a single run-together caption line placed above both tables, so neither table is unambiguously labelled.</w:t>
            </w:r>
          </w:p>
        </w:tc>
        <w:tc>
          <w:tcPr>
            <w:tcW w:type="dxa" w:w="1008"/>
          </w:tcPr>
          <w:p>
            <w:r/>
            <w:r>
              <w:rPr>
                <w:sz w:val="19"/>
              </w:rPr>
              <w:t>[MED]</w:t>
            </w:r>
          </w:p>
        </w:tc>
      </w:tr>
      <w:tr>
        <w:tc>
          <w:tcPr>
            <w:tcW w:type="dxa" w:w="576"/>
          </w:tcPr>
          <w:p>
            <w:r/>
            <w:r>
              <w:rPr>
                <w:sz w:val="19"/>
              </w:rPr>
              <w:t>10</w:t>
            </w:r>
          </w:p>
        </w:tc>
        <w:tc>
          <w:tcPr>
            <w:tcW w:type="dxa" w:w="8064"/>
          </w:tcPr>
          <w:p>
            <w:r/>
            <w:r>
              <w:rPr>
                <w:sz w:val="19"/>
              </w:rPr>
              <w:t>Figure 10 (staff nurse) routes 'Doctor Credentials' through its login process — copy-pasted from Figure 9 and never relabelled.</w:t>
            </w:r>
          </w:p>
        </w:tc>
        <w:tc>
          <w:tcPr>
            <w:tcW w:type="dxa" w:w="1008"/>
          </w:tcPr>
          <w:p>
            <w:r/>
            <w:r>
              <w:rPr>
                <w:sz w:val="19"/>
              </w:rPr>
              <w:t>[MED]</w:t>
            </w:r>
          </w:p>
        </w:tc>
      </w:tr>
      <w:tr>
        <w:tc>
          <w:tcPr>
            <w:tcW w:type="dxa" w:w="576"/>
          </w:tcPr>
          <w:p>
            <w:r/>
            <w:r>
              <w:rPr>
                <w:sz w:val="19"/>
              </w:rPr>
              <w:t>11</w:t>
            </w:r>
          </w:p>
        </w:tc>
        <w:tc>
          <w:tcPr>
            <w:tcW w:type="dxa" w:w="8064"/>
          </w:tcPr>
          <w:p>
            <w:r/>
            <w:r>
              <w:rPr>
                <w:sz w:val="19"/>
              </w:rPr>
              <w:t>Figure 9's CONSULTATION process is dangling — no inbound flow, no outbound flow and no store, while every sibling process has a matched pair. There is also a stray 'LL' label on the doctor entity's connector.</w:t>
            </w:r>
          </w:p>
        </w:tc>
        <w:tc>
          <w:tcPr>
            <w:tcW w:type="dxa" w:w="1008"/>
          </w:tcPr>
          <w:p>
            <w:r/>
            <w:r>
              <w:rPr>
                <w:sz w:val="19"/>
              </w:rPr>
              <w:t>[MED]</w:t>
            </w:r>
          </w:p>
        </w:tc>
      </w:tr>
      <w:tr>
        <w:tc>
          <w:tcPr>
            <w:tcW w:type="dxa" w:w="576"/>
          </w:tcPr>
          <w:p>
            <w:r/>
            <w:r>
              <w:rPr>
                <w:sz w:val="19"/>
              </w:rPr>
              <w:t>12</w:t>
            </w:r>
          </w:p>
        </w:tc>
        <w:tc>
          <w:tcPr>
            <w:tcW w:type="dxa" w:w="8064"/>
          </w:tcPr>
          <w:p>
            <w:r/>
            <w:r>
              <w:rPr>
                <w:sz w:val="19"/>
              </w:rPr>
              <w:t>The Definition of Terms omits the paper's three most load-bearing concepts — LOA, Guarantor and Virtual Consultation — while defining XAMPP, which is not used, and Comparative Analysis, which describes a comparison the study never performs.</w:t>
            </w:r>
          </w:p>
        </w:tc>
        <w:tc>
          <w:tcPr>
            <w:tcW w:type="dxa" w:w="1008"/>
          </w:tcPr>
          <w:p>
            <w:r/>
            <w:r>
              <w:rPr>
                <w:sz w:val="19"/>
              </w:rPr>
              <w:t>[MED]</w:t>
            </w:r>
          </w:p>
        </w:tc>
      </w:tr>
      <w:tr>
        <w:tc>
          <w:tcPr>
            <w:tcW w:type="dxa" w:w="576"/>
          </w:tcPr>
          <w:p>
            <w:r/>
            <w:r>
              <w:rPr>
                <w:sz w:val="19"/>
              </w:rPr>
              <w:t>13</w:t>
            </w:r>
          </w:p>
        </w:tc>
        <w:tc>
          <w:tcPr>
            <w:tcW w:type="dxa" w:w="8064"/>
          </w:tcPr>
          <w:p>
            <w:r/>
            <w:r>
              <w:rPr>
                <w:sz w:val="19"/>
              </w:rPr>
              <w:t>Figure 3's actor labels read 'STAFF NURRSE' (typo) and 'ADMIN', while its own caption says 'System Administrator' and Figure 4 says 'Admin\HR'. Three vocabularies for two actors.</w:t>
            </w:r>
          </w:p>
        </w:tc>
        <w:tc>
          <w:tcPr>
            <w:tcW w:type="dxa" w:w="1008"/>
          </w:tcPr>
          <w:p>
            <w:r/>
            <w:r>
              <w:rPr>
                <w:sz w:val="19"/>
              </w:rPr>
              <w:t>[MED]</w:t>
            </w:r>
          </w:p>
        </w:tc>
      </w:tr>
      <w:tr>
        <w:tc>
          <w:tcPr>
            <w:tcW w:type="dxa" w:w="576"/>
          </w:tcPr>
          <w:p>
            <w:r/>
            <w:r>
              <w:rPr>
                <w:sz w:val="19"/>
              </w:rPr>
              <w:t>14</w:t>
            </w:r>
          </w:p>
        </w:tc>
        <w:tc>
          <w:tcPr>
            <w:tcW w:type="dxa" w:w="8064"/>
          </w:tcPr>
          <w:p>
            <w:r/>
            <w:r>
              <w:rPr>
                <w:sz w:val="19"/>
              </w:rPr>
              <w:t>Chapter 2's synthesis matrix has no table number and no caption, so the paper's table sequence silently skips it.</w:t>
            </w:r>
          </w:p>
        </w:tc>
        <w:tc>
          <w:tcPr>
            <w:tcW w:type="dxa" w:w="1008"/>
          </w:tcPr>
          <w:p>
            <w:r/>
            <w:r>
              <w:rPr>
                <w:sz w:val="19"/>
              </w:rPr>
              <w:t>[LOW]</w:t>
            </w:r>
          </w:p>
        </w:tc>
      </w:tr>
      <w:tr>
        <w:tc>
          <w:tcPr>
            <w:tcW w:type="dxa" w:w="576"/>
          </w:tcPr>
          <w:p>
            <w:r/>
            <w:r>
              <w:rPr>
                <w:sz w:val="19"/>
              </w:rPr>
              <w:t>15</w:t>
            </w:r>
          </w:p>
        </w:tc>
        <w:tc>
          <w:tcPr>
            <w:tcW w:type="dxa" w:w="8064"/>
          </w:tcPr>
          <w:p>
            <w:r/>
            <w:r>
              <w:rPr>
                <w:sz w:val="19"/>
              </w:rPr>
              <w:t>Objective 3's hardware specification and Table 1 do not match (i3 5th generation or higher, against an i5-6200U).</w:t>
            </w:r>
          </w:p>
        </w:tc>
        <w:tc>
          <w:tcPr>
            <w:tcW w:type="dxa" w:w="1008"/>
          </w:tcPr>
          <w:p>
            <w:r/>
            <w:r>
              <w:rPr>
                <w:sz w:val="19"/>
              </w:rPr>
              <w:t>[LOW]</w:t>
            </w:r>
          </w:p>
        </w:tc>
      </w:tr>
    </w:tbl>
    <w:p>
      <w:pPr>
        <w:spacing w:after="40"/>
      </w:pPr>
    </w:p>
    <w:p>
      <w:r>
        <w:br w:type="page"/>
      </w:r>
    </w:p>
    <w:p>
      <w:pPr>
        <w:pStyle w:val="Heading1"/>
      </w:pPr>
      <w:r>
        <w:t>Part 6 — Housekeeping items found in the live database</w:t>
      </w:r>
    </w:p>
    <w:p>
      <w:pPr>
        <w:pStyle w:val="Heading2"/>
      </w:pPr>
      <w:r>
        <w:t>6.1  Leftover manual-test account</w:t>
      </w:r>
    </w:p>
    <w:p>
      <w:pPr>
        <w:spacing w:after="120"/>
      </w:pPr>
      <w:r>
        <w:rPr>
          <w:b w:val="0"/>
          <w:i w:val="0"/>
        </w:rPr>
        <w:t>One account in the live database is a test artefact rather than real data.</w:t>
      </w:r>
    </w:p>
    <w:tbl>
      <w:tblPr>
        <w:tblStyle w:val="TableGrid"/>
        <w:tblW w:type="auto" w:w="0"/>
        <w:jc w:val="left"/>
        <w:tblLook w:firstColumn="1" w:firstRow="1" w:lastColumn="0" w:lastRow="0" w:noHBand="0" w:noVBand="1" w:val="04A0"/>
      </w:tblPr>
      <w:tblGrid>
        <w:gridCol w:w="4896"/>
        <w:gridCol w:w="4896"/>
      </w:tblGrid>
      <w:tr>
        <w:tc>
          <w:tcPr>
            <w:tcW w:type="dxa" w:w="2736"/>
          </w:tcPr>
          <w:p>
            <w:r/>
            <w:r>
              <w:rPr>
                <w:b/>
                <w:sz w:val="19"/>
              </w:rPr>
              <w:t>Field</w:t>
            </w:r>
          </w:p>
        </w:tc>
        <w:tc>
          <w:tcPr>
            <w:tcW w:type="dxa" w:w="6912"/>
          </w:tcPr>
          <w:p>
            <w:r/>
            <w:r>
              <w:rPr>
                <w:b/>
                <w:sz w:val="19"/>
              </w:rPr>
              <w:t>Value</w:t>
            </w:r>
          </w:p>
        </w:tc>
      </w:tr>
      <w:tr>
        <w:tc>
          <w:tcPr>
            <w:tcW w:type="dxa" w:w="2736"/>
          </w:tcPr>
          <w:p>
            <w:r/>
            <w:r>
              <w:rPr>
                <w:sz w:val="19"/>
              </w:rPr>
              <w:t>Email</w:t>
            </w:r>
          </w:p>
        </w:tc>
        <w:tc>
          <w:tcPr>
            <w:tcW w:type="dxa" w:w="6912"/>
          </w:tcPr>
          <w:p>
            <w:r/>
            <w:r>
              <w:rPr>
                <w:sz w:val="19"/>
              </w:rPr>
              <w:t>t05.check@wellcare.com</w:t>
            </w:r>
          </w:p>
        </w:tc>
      </w:tr>
      <w:tr>
        <w:tc>
          <w:tcPr>
            <w:tcW w:type="dxa" w:w="2736"/>
          </w:tcPr>
          <w:p>
            <w:r/>
            <w:r>
              <w:rPr>
                <w:sz w:val="19"/>
              </w:rPr>
              <w:t>User ID</w:t>
            </w:r>
          </w:p>
        </w:tc>
        <w:tc>
          <w:tcPr>
            <w:tcW w:type="dxa" w:w="6912"/>
          </w:tcPr>
          <w:p>
            <w:r/>
            <w:r>
              <w:rPr>
                <w:sz w:val="19"/>
              </w:rPr>
              <w:t>54</w:t>
            </w:r>
          </w:p>
        </w:tc>
      </w:tr>
      <w:tr>
        <w:tc>
          <w:tcPr>
            <w:tcW w:type="dxa" w:w="2736"/>
          </w:tcPr>
          <w:p>
            <w:r/>
            <w:r>
              <w:rPr>
                <w:sz w:val="19"/>
              </w:rPr>
              <w:t>Name</w:t>
            </w:r>
          </w:p>
        </w:tc>
        <w:tc>
          <w:tcPr>
            <w:tcW w:type="dxa" w:w="6912"/>
          </w:tcPr>
          <w:p>
            <w:r/>
            <w:r>
              <w:rPr>
                <w:sz w:val="19"/>
              </w:rPr>
              <w:t>Testcase Fivecheck</w:t>
            </w:r>
          </w:p>
        </w:tc>
      </w:tr>
      <w:tr>
        <w:tc>
          <w:tcPr>
            <w:tcW w:type="dxa" w:w="2736"/>
          </w:tcPr>
          <w:p>
            <w:r/>
            <w:r>
              <w:rPr>
                <w:sz w:val="19"/>
              </w:rPr>
              <w:t>Role</w:t>
            </w:r>
          </w:p>
        </w:tc>
        <w:tc>
          <w:tcPr>
            <w:tcW w:type="dxa" w:w="6912"/>
          </w:tcPr>
          <w:p>
            <w:r/>
            <w:r>
              <w:rPr>
                <w:sz w:val="19"/>
              </w:rPr>
              <w:t>nurse</w:t>
            </w:r>
          </w:p>
        </w:tc>
      </w:tr>
      <w:tr>
        <w:tc>
          <w:tcPr>
            <w:tcW w:type="dxa" w:w="2736"/>
          </w:tcPr>
          <w:p>
            <w:r/>
            <w:r>
              <w:rPr>
                <w:sz w:val="19"/>
              </w:rPr>
              <w:t>Client number</w:t>
            </w:r>
          </w:p>
        </w:tc>
        <w:tc>
          <w:tcPr>
            <w:tcW w:type="dxa" w:w="6912"/>
          </w:tcPr>
          <w:p>
            <w:r/>
            <w:r>
              <w:rPr>
                <w:sz w:val="19"/>
              </w:rPr>
              <w:t>WC-2026-38728</w:t>
            </w:r>
          </w:p>
        </w:tc>
      </w:tr>
      <w:tr>
        <w:tc>
          <w:tcPr>
            <w:tcW w:type="dxa" w:w="2736"/>
          </w:tcPr>
          <w:p>
            <w:r/>
            <w:r>
              <w:rPr>
                <w:sz w:val="19"/>
              </w:rPr>
              <w:t>Created</w:t>
            </w:r>
          </w:p>
        </w:tc>
        <w:tc>
          <w:tcPr>
            <w:tcW w:type="dxa" w:w="6912"/>
          </w:tcPr>
          <w:p>
            <w:r/>
            <w:r>
              <w:rPr>
                <w:sz w:val="19"/>
              </w:rPr>
              <w:t>11 September 2026, 02:31</w:t>
            </w:r>
          </w:p>
        </w:tc>
      </w:tr>
      <w:tr>
        <w:tc>
          <w:tcPr>
            <w:tcW w:type="dxa" w:w="2736"/>
          </w:tcPr>
          <w:p>
            <w:r/>
            <w:r>
              <w:rPr>
                <w:sz w:val="19"/>
              </w:rPr>
              <w:t>must_change_password</w:t>
            </w:r>
          </w:p>
        </w:tc>
        <w:tc>
          <w:tcPr>
            <w:tcW w:type="dxa" w:w="6912"/>
          </w:tcPr>
          <w:p>
            <w:r/>
            <w:r>
              <w:rPr>
                <w:sz w:val="19"/>
              </w:rPr>
              <w:t>1 (never signed in and changed it)</w:t>
            </w:r>
          </w:p>
        </w:tc>
      </w:tr>
      <w:tr>
        <w:tc>
          <w:tcPr>
            <w:tcW w:type="dxa" w:w="2736"/>
          </w:tcPr>
          <w:p>
            <w:r/>
            <w:r>
              <w:rPr>
                <w:sz w:val="19"/>
              </w:rPr>
              <w:t>Status</w:t>
            </w:r>
          </w:p>
        </w:tc>
        <w:tc>
          <w:tcPr>
            <w:tcW w:type="dxa" w:w="6912"/>
          </w:tcPr>
          <w:p>
            <w:r/>
            <w:r>
              <w:rPr>
                <w:sz w:val="19"/>
              </w:rPr>
              <w:t>Active, not deleted</w:t>
            </w:r>
          </w:p>
        </w:tc>
      </w:tr>
    </w:tbl>
    <w:p>
      <w:pPr>
        <w:spacing w:after="40"/>
      </w:pPr>
    </w:p>
    <w:p>
      <w:pPr>
        <w:spacing w:after="120"/>
      </w:pPr>
      <w:r>
        <w:rPr>
          <w:b w:val="0"/>
          <w:i w:val="0"/>
        </w:rPr>
        <w:t>What it is. It was created by hand during the governance manual walkthrough of 11 September 2026, as the artefact of test case T-05 in WELLCARE-GOVERNANCE-TESTPLAN.md. That test checks that an administrator cannot mint another administrator: the tester opens the Add-User form, reads every option in the Role dropdown to confirm that Administrator, Data Protection Officer and System Owner are absent, then picks a role they are allowed to create and saves, to confirm the expectation 'the account you did create is saved successfully'. Staff Nurse was the role picked. The name and the email are both derived from the test's own identifier — T-05, check.</w:t>
      </w:r>
    </w:p>
    <w:p>
      <w:pPr>
        <w:spacing w:after="120"/>
      </w:pPr>
      <w:r>
        <w:rPr>
          <w:b/>
          <w:i w:val="0"/>
        </w:rPr>
        <w:t>It is not a seeded account, not referenced by any code, and appears in no seeder or fixture. It carries no clinical data. Recommendation: deactivate or delete it before any demonstration, so the nurse roster shown to a panel contains only real records.</w:t>
      </w:r>
    </w:p>
    <w:p>
      <w:pPr>
        <w:pStyle w:val="Heading2"/>
      </w:pPr>
      <w:r>
        <w:t>6.2  Uncommitted work</w:t>
      </w:r>
    </w:p>
    <w:p>
      <w:pPr>
        <w:spacing w:after="120"/>
      </w:pPr>
      <w:r>
        <w:rPr>
          <w:b/>
          <w:i w:val="0"/>
        </w:rPr>
        <w:t>Everything in Part 1 — 314 files, roughly 15,000 added lines, 19 migrations and 37 test files — is in the working tree and has not been committed or pushed. The last push was 27 August 2026. This is the single largest operational risk in this report: none of it is backed up anywhere other than this machine.</w:t>
      </w:r>
    </w:p>
    <w:p>
      <w:pPr>
        <w:spacing w:before="40" w:after="160"/>
      </w:pPr>
      <w:r>
        <w:rPr>
          <w:sz w:val="14"/>
        </w:rPr>
        <w:t>____________________________________________________________________________________________</w:t>
      </w:r>
    </w:p>
    <w:p>
      <w:pPr>
        <w:spacing w:after="120"/>
      </w:pPr>
      <w:r>
        <w:rPr>
          <w:b w:val="0"/>
          <w:i/>
        </w:rPr>
        <w:t>End of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