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pStyle w:val="Kicker"/>
        <w:keepNext/>
      </w:pPr>
      <w:r>
        <w:t>IMPLEMENTATION BLUEPRINT  /  V1.1</w:t>
      </w:r>
    </w:p>
    <w:p>
      <w:pPr>
        <w:pStyle w:val="Title"/>
        <w:spacing w:after="160"/>
      </w:pPr>
      <w:r>
        <w:rPr>
          <w:rFonts w:ascii="Calibri" w:hAnsi="Calibri" w:eastAsia="Noto Sans S Chinese Bold" w:cs="Calibri"/>
          <w:b/>
          <w:color w:val="10151E"/>
          <w:sz w:val="56"/>
        </w:rPr>
        <w:t>AI 测试平台落地方案</w:t>
      </w:r>
    </w:p>
    <w:p>
      <w:pPr>
        <w:pStyle w:val="Subtitle"/>
      </w:pPr>
      <w:r>
        <w:rPr>
          <w:rFonts w:ascii="Calibri" w:hAnsi="Calibri" w:eastAsia="Noto Sans S Chinese Medium" w:cs="Calibri"/>
          <w:color w:val="687386"/>
          <w:sz w:val="30"/>
        </w:rPr>
        <w:t>从原子数据能力到可观察、可恢复的浏览器 Agent 执行</w:t>
      </w:r>
    </w:p>
    <w:p>
      <w:pPr>
        <w:spacing w:before="80" w:after="360"/>
        <w:pBdr>
          <w:bottom w:val="single" w:sz="18" w:space="1" w:color="2E74B5"/>
        </w:pBdr>
      </w:pPr>
    </w:p>
    <w:p>
      <w:pPr>
        <w:spacing w:after="80"/>
      </w:pPr>
      <w:r>
        <w:rPr>
          <w:rFonts w:ascii="Calibri" w:hAnsi="Calibri" w:eastAsia="Noto Sans S Chinese Regular" w:cs="Calibri"/>
          <w:b/>
          <w:color w:val="687386"/>
          <w:sz w:val="21"/>
        </w:rPr>
        <w:t>文档状态：架构基线已接受</w:t>
      </w:r>
      <w:r>
        <w:rPr>
          <w:rFonts w:ascii="Calibri" w:hAnsi="Calibri" w:eastAsia="Noto Sans S Chinese Regular" w:cs="Calibri"/>
          <w:color w:val="10151E"/>
          <w:sz w:val="21"/>
        </w:rPr>
      </w:r>
    </w:p>
    <w:p>
      <w:pPr>
        <w:spacing w:after="80"/>
      </w:pPr>
      <w:r>
        <w:rPr>
          <w:rFonts w:ascii="Calibri" w:hAnsi="Calibri" w:eastAsia="Noto Sans S Chinese Regular" w:cs="Calibri"/>
          <w:b/>
          <w:color w:val="687386"/>
          <w:sz w:val="21"/>
        </w:rPr>
        <w:t>版本：v1.1</w:t>
      </w:r>
      <w:r>
        <w:rPr>
          <w:rFonts w:ascii="Calibri" w:hAnsi="Calibri" w:eastAsia="Noto Sans S Chinese Regular" w:cs="Calibri"/>
          <w:color w:val="10151E"/>
          <w:sz w:val="21"/>
        </w:rPr>
      </w:r>
    </w:p>
    <w:p>
      <w:pPr>
        <w:spacing w:after="80"/>
      </w:pPr>
      <w:r>
        <w:rPr>
          <w:rFonts w:ascii="Calibri" w:hAnsi="Calibri" w:eastAsia="Noto Sans S Chinese Regular" w:cs="Calibri"/>
          <w:b/>
          <w:color w:val="687386"/>
          <w:sz w:val="21"/>
        </w:rPr>
        <w:t>日期：2026-07-13</w:t>
      </w:r>
      <w:r>
        <w:rPr>
          <w:rFonts w:ascii="Calibri" w:hAnsi="Calibri" w:eastAsia="Noto Sans S Chinese Regular" w:cs="Calibri"/>
          <w:color w:val="10151E"/>
          <w:sz w:val="21"/>
        </w:rPr>
      </w:r>
    </w:p>
    <w:p>
      <w:pPr>
        <w:spacing w:after="80"/>
      </w:pPr>
      <w:r>
        <w:rPr>
          <w:rFonts w:ascii="Calibri" w:hAnsi="Calibri" w:eastAsia="Noto Sans S Chinese Regular" w:cs="Calibri"/>
          <w:b/>
          <w:color w:val="687386"/>
          <w:sz w:val="21"/>
        </w:rPr>
        <w:t>适用范围：</w:t>
      </w:r>
      <w:r>
        <w:rPr>
          <w:rFonts w:ascii="Calibri" w:hAnsi="Calibri" w:eastAsia="Noto Sans S Chinese Regular" w:cs="Calibri"/>
          <w:color w:val="10151E"/>
          <w:sz w:val="21"/>
        </w:rPr>
        <w:t>首个试点项目至组织级扩展</w:t>
      </w:r>
    </w:p>
    <w:p>
      <w:pPr>
        <w:spacing w:after="320"/>
      </w:pP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核心结论  </w:t>
      </w:r>
      <w:r>
        <w:rPr>
          <w:rFonts w:ascii="Calibri" w:hAnsi="Calibri" w:eastAsia="Noto Sans S Chinese Regular" w:cs="Calibri"/>
          <w:color w:val="0B2545"/>
        </w:rPr>
        <w:t>平台的首要产品不是“测试用例列表”，而是一套版本化 Test IR：它把功能说明、业务身份、原子数据图、受约束 Agent、确定性断言与证据协议编译为可恢复运行。</w:t>
      </w:r>
    </w:p>
    <w:p>
      <w:r>
        <w:rPr>
          <w:rFonts w:ascii="Calibri" w:hAnsi="Calibri" w:eastAsia="Noto Sans S Chinese Regular" w:cs="Calibri"/>
        </w:rPr>
        <w:t>本方案以“销售账号 → 创建客户 → 创建来访单 → 追踪 ID 筛选 → 角色权限断言 → 逆序清理”为首个黄金链路，给出产品边界、技术架构、数据模型、接口、实施阶段和验收门槛。</w:t>
      </w:r>
    </w:p>
    <w:p>
      <w:pPr>
        <w:spacing w:before="480"/>
      </w:pPr>
      <w:r>
        <w:rPr>
          <w:rFonts w:ascii="Calibri" w:hAnsi="Calibri" w:eastAsia="Noto Sans S Chinese Regular" w:cs="Calibri"/>
          <w:b/>
          <w:color w:val="2E74B5"/>
          <w:sz w:val="20"/>
        </w:rPr>
        <w:t>ATLAS TEST SPACE</w:t>
      </w:r>
    </w:p>
    <w:p>
      <w:r>
        <w:br w:type="page"/>
      </w:r>
    </w:p>
    <w:p>
      <w:pPr>
        <w:pStyle w:val="Kicker"/>
        <w:keepNext/>
      </w:pPr>
      <w:r>
        <w:t>DOCUMENT MAP</w:t>
      </w:r>
    </w:p>
    <w:p>
      <w:pPr>
        <w:pStyle w:val="Heading1"/>
      </w:pPr>
      <w:r>
        <w:t>目录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执行摘要：需要先做出的六个决定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产品定位、目标与范围边界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用户、领域对象与核心闭环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原子组件、类型系统与依赖图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功能说明到 Agent 工作流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执行引擎、账号租约与证据流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总体技术架构与技术选型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核心数据模型与 API 边界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安全、权限、隐私与治理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实施路线、团队与工作包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验收、SLO 与运营指标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风险、ADR 与下一步行动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附录：关键协议样例与参考资料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阅读建议  </w:t>
      </w:r>
      <w:r>
        <w:rPr>
          <w:rFonts w:ascii="Calibri" w:hAnsi="Calibri" w:eastAsia="Noto Sans S Chinese Regular" w:cs="Calibri"/>
          <w:color w:val="0B2545"/>
        </w:rPr>
        <w:t>决策者优先阅读第 1、2、10、12 章；产品与 QA 负责人优先阅读第 3–5 章；架构与研发负责人重点阅读第 4、6–9 章。</w:t>
      </w:r>
    </w:p>
    <w:p>
      <w:r>
        <w:br w:type="page"/>
      </w:r>
    </w:p>
    <w:p>
      <w:pPr>
        <w:pStyle w:val="Kicker"/>
        <w:keepNext/>
      </w:pPr>
      <w:r>
        <w:t>01 / EXECUTIVE DECISIONS</w:t>
      </w:r>
    </w:p>
    <w:p>
      <w:pPr>
        <w:pStyle w:val="Heading1"/>
      </w:pPr>
      <w:r>
        <w:t>执行摘要：需要先做出的六个决定</w:t>
      </w:r>
    </w:p>
    <w:p>
      <w:r>
        <w:rPr>
          <w:rFonts w:ascii="Calibri" w:hAnsi="Calibri" w:eastAsia="Noto Sans S Chinese Regular" w:cs="Calibri"/>
        </w:rPr>
        <w:t>这套平台的成败不取决于是否能让 Agent 点击页面，而取决于是否把不可控部分压缩在确定性边界内，并使每次运行具备版本、证据和清理责任。建议在启动研发前确认以下六项原则。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800"/>
        <w:gridCol w:w="5960"/>
        <w:gridCol w:w="900"/>
      </w:tblGrid>
      <w:tr>
        <w:trPr>
          <w:tblHeader w:val="true"/>
          <w:cantSplit/>
        </w:trPr>
        <w:tc>
          <w:tcPr>
            <w:tcW w:type="dxa" w:w="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决策域</w:t>
            </w:r>
          </w:p>
        </w:tc>
        <w:tc>
          <w:tcPr>
            <w:tcW w:type="dxa" w:w="5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推荐结论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级别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D1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平台资产核心</w:t>
            </w:r>
          </w:p>
        </w:tc>
        <w:tc>
          <w:tcPr>
            <w:tcW w:type="dxa" w:w="5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自有、版本化的 Test IR；与具体模型和 Agent 框架解耦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D2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执行职责边界</w:t>
            </w:r>
          </w:p>
        </w:tc>
        <w:tc>
          <w:tcPr>
            <w:tcW w:type="dxa" w:w="5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数据、账号、调度、断言、清理由确定性引擎负责；Agent 只处理页面语义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D3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发布模型</w:t>
            </w:r>
          </w:p>
        </w:tc>
        <w:tc>
          <w:tcPr>
            <w:tcW w:type="dxa" w:w="5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功能文档、原子组件、用例、Prompt、模型配置发布后不可变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D4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运行状态权威</w:t>
            </w:r>
          </w:p>
        </w:tc>
        <w:tc>
          <w:tcPr>
            <w:tcW w:type="dxa" w:w="5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只保留一个持久化工作流状态机作为事实来源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D5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断言信任模型</w:t>
            </w:r>
          </w:p>
        </w:tc>
        <w:tc>
          <w:tcPr>
            <w:tcW w:type="dxa" w:w="5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DOM/API/业务规则是权威；模型不得自行修改预期或决定假通过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D6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实施策略</w:t>
            </w:r>
          </w:p>
        </w:tc>
        <w:tc>
          <w:tcPr>
            <w:tcW w:type="dxa" w:w="5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先打通一条黄金链路，连续稳定运行后再抽象通用平台能力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推荐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北极星指标  </w:t>
      </w:r>
      <w:r>
        <w:rPr>
          <w:rFonts w:ascii="Calibri" w:hAnsi="Calibri" w:eastAsia="Noto Sans S Chinese Regular" w:cs="Calibri"/>
          <w:color w:val="0B2545"/>
        </w:rPr>
        <w:t>从功能说明到一条稳定、可复现、具备完整证据的自动化用例所需时间，而不是平台里累计创建了多少条用例。</w:t>
      </w:r>
    </w:p>
    <w:p>
      <w:pPr>
        <w:pStyle w:val="Heading2"/>
      </w:pPr>
      <w:r>
        <w:t>1.1 推荐建设路径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以 CRM 客户筛选为试点，仅选定一个测试环境、两个业务角色和 6–10 个原子组件。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先落地 Test IR、组件契约、账号租约、DAG 执行、Playwright Runner、实时事件和证据包。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AI 只生成草稿；草稿通过静态编译、沙盒试运行和人工审核后发布不可变版本。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连续 30 次黄金链路验证达到门槛后，扩展到批量矩阵、迭代报告和组件市场。</w:t>
      </w:r>
    </w:p>
    <w:p>
      <w:pPr>
        <w:pStyle w:val="Heading2"/>
      </w:pPr>
      <w:r>
        <w:t>1.2 推荐技术基线</w:t>
      </w:r>
    </w:p>
    <w:p>
      <w:r>
        <w:rPr>
          <w:rFonts w:ascii="Calibri" w:hAnsi="Calibri" w:eastAsia="Noto Sans S Chinese Regular" w:cs="Calibri"/>
        </w:rPr>
        <w:t>管理端采用 React / Next.js；控制面采用 Python 服务；持久化编排优先 Temporal；浏览器执行采用 Playwright；PostgreSQL 保存资产与状态投影；对象存储保存 Trace、截图和视频；OpenTelemetry 贯通平台 Trace、指标与日志。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关键边界  </w:t>
      </w:r>
      <w:r>
        <w:rPr>
          <w:rFonts w:ascii="Calibri" w:hAnsi="Calibri" w:eastAsia="Noto Sans S Chinese Regular" w:cs="Calibri"/>
          <w:color w:val="0B2545"/>
        </w:rPr>
        <w:t>MVP 不实现自由探索型 Agent、多租户、全浏览器真机矩阵、完整 CI/CD 或自动写回已发布用例。</w:t>
      </w:r>
    </w:p>
    <w:p>
      <w:pPr>
        <w:pStyle w:val="Heading1"/>
      </w:pPr>
      <w:r>
        <w:t>产品定位、目标与范围边界</w:t>
      </w:r>
    </w:p>
    <w:p>
      <w:pPr>
        <w:pStyle w:val="Heading2"/>
      </w:pPr>
      <w:r>
        <w:t>2.1 产品定位</w:t>
      </w:r>
    </w:p>
    <w:p>
      <w:r>
        <w:rPr>
          <w:rFonts w:ascii="Calibri" w:hAnsi="Calibri" w:eastAsia="Noto Sans S Chinese Regular" w:cs="Calibri"/>
        </w:rPr>
        <w:t>AI 测试平台面向“AI 持续产生业务代码、测试资产必须同步演进”的研发模式，将功能说明、测试身份、初始化数据、浏览器操作、断言和运行证据组织为可复用、可编排、可追溯的测试资产。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核心闭环  </w:t>
      </w:r>
      <w:r>
        <w:rPr>
          <w:rFonts w:ascii="Calibri" w:hAnsi="Calibri" w:eastAsia="Noto Sans S Chinese Regular" w:cs="Calibri"/>
          <w:color w:val="0B2545"/>
        </w:rPr>
        <w:t>功能说明 → AI 生成测试草案 → 人工审核发布 → 数据图初始化 → 浏览器 Agent 执行 → 确定性断言 → 证据采集 → 失败定位 → 迭代回归。</w:t>
      </w:r>
    </w:p>
    <w:p>
      <w:pPr>
        <w:pStyle w:val="Heading2"/>
      </w:pPr>
      <w:r>
        <w:t>2.2 产品目标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统一测试身份管理：角色、账号池、凭证引用、健康检查、租约和并发隔离。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沉淀可组合的数据初始化能力：创建客户、创建来访单等组件通过类型端口和变量映射形成 DAG。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从功能说明生成可执行测试资产：保留来源片段、文档快照、模型与 Prompt 版本。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确定性节点与 Agent 节点混合编排：常规动作可复现，语义变化可适应。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支持单次验证和批量回归：环境、角色、数据变体组合为运行矩阵。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执行过程全链路可观察：步骤、画面、动作摘要、DOM、网络、Console、Trace 和断言证据。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历史运行可解释、可复现：固定所有资产版本与执行镜像。</w:t>
      </w:r>
    </w:p>
    <w:p>
      <w:pPr>
        <w:pStyle w:val="Heading2"/>
      </w:pPr>
      <w:r>
        <w:t>2.3 MVP 非目标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边界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性能/安全测试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不替代压力、性能、漏洞扫描和渗透测试平台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基础模型训练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不自行训练模型，统一通过可替换模型网关接入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无人审核发布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AI 草稿必须审核；高风险动作必须审批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任意脚本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Agent 不得执行任意 Shell、SQL、JavaScript 或任意网络请求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完整研发套件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不重建需求、缺陷或 CI/CD 系统，仅提供 API、Webhook 和链接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全终端覆盖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MVP 优先 Chromium 桌面浏览器，真机和多浏览器后置</w:t>
            </w:r>
          </w:p>
        </w:tc>
      </w:tr>
    </w:tbl>
    <w:p>
      <w:pPr>
        <w:pStyle w:val="SmallText"/>
      </w:pPr>
    </w:p>
    <w:p>
      <w:pPr>
        <w:pStyle w:val="Kicker"/>
        <w:keepNext/>
      </w:pPr>
      <w:r>
        <w:t>03 / PRODUCT &amp; DOMAIN</w:t>
      </w:r>
    </w:p>
    <w:p>
      <w:pPr>
        <w:pStyle w:val="Heading1"/>
      </w:pPr>
      <w:r>
        <w:t>用户、领域对象与核心闭环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09520"/>
            <wp:docPr id="1" name="Picture 1" descr="图 1  首个黄金链路：从身份租用、原子数据准备到浏览器执行、断言与清理" title="图 1  首个黄金链路：从身份租用、原子数据准备到浏览器执行、断言与清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e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  首个黄金链路：从身份租用、原子数据准备到浏览器执行、断言与清理</w:t>
      </w:r>
    </w:p>
    <w:p>
      <w:pPr>
        <w:pStyle w:val="Heading2"/>
      </w:pPr>
      <w:r>
        <w:t>3.1 两套身份域必须分离</w:t>
      </w:r>
    </w:p>
    <w:p>
      <w:r>
        <w:rPr>
          <w:rFonts w:ascii="Calibri" w:hAnsi="Calibri" w:eastAsia="Noto Sans S Chinese Regular" w:cs="Calibri"/>
        </w:rPr>
        <w:t>平台使用者的权限决定“谁能设计、审核、运行和查看”；被测系统身份决定“运行时以什么业务角色登录”。二者不可复用同一个角色模型。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760"/>
        <w:gridCol w:w="140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主要责任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作用域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平台管理员</w:t>
            </w:r>
          </w:p>
        </w:tc>
        <w:tc>
          <w:tcPr>
            <w:tcW w:type="dxa" w:w="5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租户策略、模型配置、凭证策略、审计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组织级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项目管理员 / 测试负责人</w:t>
            </w:r>
          </w:p>
        </w:tc>
        <w:tc>
          <w:tcPr>
            <w:tcW w:type="dxa" w:w="5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环境、成员、迭代、计划和发布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项目级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组件维护者</w:t>
            </w:r>
          </w:p>
        </w:tc>
        <w:tc>
          <w:tcPr>
            <w:tcW w:type="dxa" w:w="5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原子组件创建、验证、发布和弃用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资产级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测试设计者 / 审核者</w:t>
            </w:r>
          </w:p>
        </w:tc>
        <w:tc>
          <w:tcPr>
            <w:tcW w:type="dxa" w:w="5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草稿生成、编排、断言、审核发布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用例级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执行者 / 观察者</w:t>
            </w:r>
          </w:p>
        </w:tc>
        <w:tc>
          <w:tcPr>
            <w:tcW w:type="dxa" w:w="5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启动运行、查看过程、回放和归因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运行级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被测业务角色</w:t>
            </w:r>
          </w:p>
        </w:tc>
        <w:tc>
          <w:tcPr>
            <w:tcW w:type="dxa" w:w="5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销售、经理、客服、管理员等账号池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运行时</w:t>
            </w:r>
          </w:p>
        </w:tc>
      </w:tr>
    </w:tbl>
    <w:p>
      <w:pPr>
        <w:pStyle w:val="SmallText"/>
      </w:pPr>
    </w:p>
    <w:p>
      <w:pPr>
        <w:pStyle w:val="Heading2"/>
      </w:pPr>
      <w:r>
        <w:t>3.2 核心领域对象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60"/>
        <w:gridCol w:w="340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领域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主要实体</w:t>
            </w:r>
          </w:p>
        </w:tc>
        <w:tc>
          <w:tcPr>
            <w:tcW w:type="dxa" w:w="3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项目与迭代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Project / Environment / Iteration / SpecSnapshot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隔离空间、环境快照与需求版本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身份与账号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RoleProfile / TestIdentity / AccountPool / IdentityLease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业务身份、凭证引用、容量和租约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原子与数据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AtomDefinition / AtomVersion / Port / Edge / ResourceLedger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能力契约、依赖映射、副作用和清理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测试设计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TestCase / CaseVersion / WorkflowVersion / AgentPolicy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草稿、审核、发布和执行边界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运行与证据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TaskPlanVersion / TaskRun / ExecutionUnit / UnitAttempt / Event / Evidence / Failure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状态、尝试、事件、证据和归因</w:t>
            </w:r>
          </w:p>
        </w:tc>
      </w:tr>
    </w:tbl>
    <w:p>
      <w:pPr>
        <w:pStyle w:val="SmallText"/>
      </w:pPr>
    </w:p>
    <w:p>
      <w:pPr>
        <w:pStyle w:val="Heading2"/>
      </w:pPr>
      <w:r>
        <w:t>3.3 不可破坏的领域约束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已发布的用例版本、组件版本、功能文档快照和 Agent 策略不可原地修改。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工作流发布前必须完成 DAG 无环校验、必填项校验、类型兼容和权限检查。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下游节点只能读取显式声明的上游输出；不得隐式读取其他节点运行数据。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上游失败后依赖节点必须标记 Blocked；清理默认按初始化依赖逆序执行。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敏感端口不得进入日志、截图注释、模型上下文或普通事件 Payload。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每个 ExecutionUnit 使用独立账号租约、数据实例和 Browser Context。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Failed（业务断言失败）与 Error（平台/环境异常）必须分开统计。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01060"/>
            <wp:docPr id="2" name="Picture 2" descr="图 2  Run 快照模型：历史运行固定引用全部资产版本" title="图 2  Run 快照模型：历史运行固定引用全部资产版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2  Run 快照模型：历史运行固定引用全部资产版本</w:t>
      </w:r>
    </w:p>
    <w:p>
      <w:pPr>
        <w:pStyle w:val="Kicker"/>
        <w:keepNext/>
      </w:pPr>
      <w:r>
        <w:t>04 / ATOMIC CAPABILITY</w:t>
      </w:r>
    </w:p>
    <w:p>
      <w:pPr>
        <w:pStyle w:val="Heading1"/>
      </w:pPr>
      <w:r>
        <w:t>原子组件、类型系统与依赖图</w:t>
      </w:r>
    </w:p>
    <w:p>
      <w:r>
        <w:rPr>
          <w:rFonts w:ascii="Calibri" w:hAnsi="Calibri" w:eastAsia="Noto Sans S Chinese Regular" w:cs="Calibri"/>
        </w:rPr>
        <w:t>原子组件不是 UI 控件，而是一项具有明确输入、输出、副作用、超时、重试和清理责任的版本化测试能力。组件可由 HTTP、受控函数、浏览器动作或断言执行器实现，但对编排层暴露统一契约。</w:t>
      </w:r>
    </w:p>
    <w:p>
      <w:pPr>
        <w:pStyle w:val="Heading2"/>
      </w:pPr>
      <w:r>
        <w:t>4.1 组件分类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80"/>
        <w:gridCol w:w="4080"/>
      </w:tblGrid>
      <w:tr>
        <w:trPr>
          <w:tblHeader w:val="true"/>
          <w:cantSplit/>
        </w:trPr>
        <w:tc>
          <w:tcPr>
            <w:tcW w:type="dxa" w:w="1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39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40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Data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创建、查询、更新、删除业务数据</w:t>
            </w:r>
          </w:p>
        </w:tc>
        <w:tc>
          <w:tcPr>
            <w:tcW w:type="dxa" w:w="4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创建客户、创建来访单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Identity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获取账号、登录或刷新会话</w:t>
            </w:r>
          </w:p>
        </w:tc>
        <w:tc>
          <w:tcPr>
            <w:tcW w:type="dxa" w:w="4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租用销售账号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Browser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确定性页面操作</w:t>
            </w:r>
          </w:p>
        </w:tc>
        <w:tc>
          <w:tcPr>
            <w:tcW w:type="dxa" w:w="4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打开页面、输入筛选值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Agent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需要页面理解的受约束目标</w:t>
            </w:r>
          </w:p>
        </w:tc>
        <w:tc>
          <w:tcPr>
            <w:tcW w:type="dxa" w:w="4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找到目标客户并处理弹窗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Assertion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对 DOM、API 或业务结果判定</w:t>
            </w:r>
          </w:p>
        </w:tc>
        <w:tc>
          <w:tcPr>
            <w:tcW w:type="dxa" w:w="4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角色可见范围断言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Control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条件、并行、等待与最终清理</w:t>
            </w:r>
          </w:p>
        </w:tc>
        <w:tc>
          <w:tcPr>
            <w:tcW w:type="dxa" w:w="40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分支、Finalize</w:t>
            </w:r>
          </w:p>
        </w:tc>
      </w:tr>
    </w:tbl>
    <w:p>
      <w:pPr>
        <w:pStyle w:val="SmallText"/>
      </w:pPr>
    </w:p>
    <w:p>
      <w:pPr>
        <w:pStyle w:val="Heading2"/>
      </w:pPr>
      <w:r>
        <w:t>4.2 类型系统</w:t>
      </w:r>
    </w:p>
    <w:p>
      <w:r>
        <w:rPr>
          <w:rFonts w:ascii="Calibri" w:hAnsi="Calibri" w:eastAsia="Noto Sans S Chinese Regular" w:cs="Calibri"/>
        </w:rPr>
        <w:t>基础类型采用 JSON Schema；平台增加领域类型扩展。领域资源不传裸字符串 ID，而传递带 resourceType、environmentId、tenantId 的资源引用，避免跨环境误接。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基础类型：string、number、boolean、datetime、enum&lt;T&gt;、list&lt;T&gt;、optional&lt;T&gt;。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平台类型：secret-ref、account-ref&lt;role&gt;、artifact-ref&lt;type&gt;。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领域资源：resource-ref&lt;crm.customer&gt;、resource-ref&lt;crm.visit&gt;。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敏感字段：x-sensitive=true；写入日志、模型上下文和事件前统一掩码。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"resourceType": "crm.customer",</w:t>
        <w:br/>
        <w:t xml:space="preserve">  "id": "cus_832901",</w:t>
        <w:br/>
        <w:t xml:space="preserve">  "environmentId": "env_test",</w:t>
        <w:br/>
        <w:t xml:space="preserve">  "tenantId": "tenant_01",</w:t>
        <w:br/>
        <w:t xml:space="preserve">  "attributes": {</w:t>
        <w:br/>
        <w:t xml:space="preserve">    "trackingId": "TRK-20260711-0008"</w:t>
        <w:br/>
        <w:t xml:space="preserve">  }</w:t>
        <w:br/>
        <w:t>}</w:t>
      </w:r>
    </w:p>
    <w:p>
      <w:pPr>
        <w:pStyle w:val="Heading2"/>
      </w:pPr>
      <w:r>
        <w:t>4.3 原子组件契约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"componentId": "crm.customer.create",</w:t>
        <w:br/>
        <w:t xml:space="preserve">  "version": "1.2.0",</w:t>
        <w:br/>
        <w:t xml:space="preserve">  "kind": "data",</w:t>
        <w:br/>
        <w:t xml:space="preserve">  "executor": {</w:t>
        <w:br/>
        <w:t xml:space="preserve">    "type": "http",</w:t>
        <w:br/>
        <w:t xml:space="preserve">    "method": "POST",</w:t>
        <w:br/>
        <w:t xml:space="preserve">    "path": "/customers"</w:t>
        <w:br/>
        <w:t xml:space="preserve">  },</w:t>
        <w:br/>
        <w:t xml:space="preserve">  "input": {</w:t>
        <w:br/>
        <w:t xml:space="preserve">    "name": "string",</w:t>
        <w:br/>
        <w:t xml:space="preserve">    "owner": "account-ref&lt;sales&gt;"</w:t>
        <w:br/>
        <w:t xml:space="preserve">  },</w:t>
        <w:br/>
        <w:t xml:space="preserve">  "output": {</w:t>
        <w:br/>
        <w:t xml:space="preserve">    "customer": "resource-ref&lt;crm.customer&gt;"</w:t>
        <w:br/>
        <w:t xml:space="preserve">  },</w:t>
        <w:br/>
        <w:t xml:space="preserve">  "idempotencyKey": "${run.id}:${node.id}:create-customer",</w:t>
        <w:br/>
        <w:t xml:space="preserve">  "cleanup": {</w:t>
        <w:br/>
        <w:t xml:space="preserve">    "componentRef": "crm.customer.delete@1.0.0",</w:t>
        <w:br/>
        <w:t xml:space="preserve">    "when": "always"</w:t>
        <w:br/>
        <w:t xml:space="preserve">  },</w:t>
        <w:br/>
        <w:t xml:space="preserve">  "timeoutMs": 15000,</w:t>
        <w:br/>
        <w:t xml:space="preserve">  "retryOn": [</w:t>
        <w:br/>
        <w:t xml:space="preserve">    "TIMEOUT",</w:t>
        <w:br/>
        <w:t xml:space="preserve">    "HTTP_429",</w:t>
        <w:br/>
        <w:t xml:space="preserve">    "HTTP_5XX"</w:t>
        <w:br/>
        <w:t xml:space="preserve">  ]</w:t>
        <w:br/>
        <w:t>}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发布门禁  </w:t>
      </w:r>
      <w:r>
        <w:rPr>
          <w:rFonts w:ascii="Calibri" w:hAnsi="Calibri" w:eastAsia="Noto Sans S Chinese Regular" w:cs="Calibri"/>
          <w:color w:val="0B2545"/>
        </w:rPr>
        <w:t>Schema 完整、Contract Test、幂等、清理、错误分类、敏感字段和权限声明全部通过后，AtomVersion 才能从 Validated 进入 Published。</w:t>
      </w:r>
    </w:p>
    <w:p>
      <w:pPr>
        <w:pStyle w:val="Heading2"/>
      </w:pPr>
      <w:r>
        <w:t>4.4 DAG 编译与变量映射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解析所有 componentRef，固定不可变版本与内容哈希。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根据 needs 和 valueFrom 建图，并执行拓扑排序与循环检测。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校验必填输入、领域类型、环境/租户作用域和敏感数据流。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检查账号角色、组件权限、Agent 工具白名单和项目策略。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计算并行层、资源需求、清理逆序与可恢复检查点。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输出 ExecutionBundle；执行期不再读取草稿或可变资产。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表达式边界  </w:t>
      </w:r>
      <w:r>
        <w:rPr>
          <w:rFonts w:ascii="Calibri" w:hAnsi="Calibri" w:eastAsia="Noto Sans S Chinese Regular" w:cs="Calibri"/>
          <w:color w:val="0B2545"/>
        </w:rPr>
        <w:t>变量引用使用结构化 $valueFrom、$template 和受限表达式；不允许在工作流中执行任意 JavaScript。条件可采用 CEL，数据路径可采用 JSONPath。</w:t>
      </w:r>
    </w:p>
    <w:p>
      <w:pPr>
        <w:pStyle w:val="Heading2"/>
      </w:pPr>
      <w:r>
        <w:t>4.5 初始化与清理生命周期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80"/>
        <w:gridCol w:w="3980"/>
      </w:tblGrid>
      <w:tr>
        <w:trPr>
          <w:tblHeader w:val="true"/>
          <w:cantSplit/>
        </w:trPr>
        <w:tc>
          <w:tcPr>
            <w:tcW w:type="dxa" w:w="1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9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39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Setup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租用账号、创建客户、创建来访单、准备配置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记录所有外部资源到 Resource Ledger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Execute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浏览器目标、API 校验和断言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按节点检查点保存输出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Finalize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释放账号、逆序清理、归档证据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成功、失败、超时、取消都必须执行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 w:cs="Calibri"/>
        </w:rPr>
        <w:t>清理失败不覆盖原始测试结论，而是产生独立的“环境卫生异常”。后台 Sweeper 使用 Resource Ledger 扫描超期资源；调试保留必须设置最大 TTL。</w:t>
      </w:r>
    </w:p>
    <w:p>
      <w:pPr>
        <w:pStyle w:val="Kicker"/>
        <w:keepNext/>
      </w:pPr>
      <w:r>
        <w:t>05 / DOCUMENT TO AGENT</w:t>
      </w:r>
    </w:p>
    <w:p>
      <w:pPr>
        <w:pStyle w:val="Heading1"/>
      </w:pPr>
      <w:r>
        <w:t>功能说明到 Agent 工作流</w:t>
      </w:r>
    </w:p>
    <w:p>
      <w:r>
        <w:rPr>
          <w:rFonts w:ascii="Calibri" w:hAnsi="Calibri" w:eastAsia="Noto Sans S Chinese Regular" w:cs="Calibri"/>
        </w:rPr>
        <w:t>功能文档不能只保存为长文本。平台应先把文档发布为不可变快照，再提取角色、前置条件、业务对象、用户旅程、不变量和预期结果，生成可审计的 Test IR 草案。</w:t>
      </w:r>
    </w:p>
    <w:p>
      <w:pPr>
        <w:pStyle w:val="Heading2"/>
      </w:pPr>
      <w:r>
        <w:t>5.1 生成流水线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选择已发布功能说明快照，并补充目标页面、适用角色、风险重点和排除范围。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提取结构化 Feature Spec：实体、前置条件、步骤、业务不变量和预期结果。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检索已发布的原子组件、页面能力目录和角色能力；无法匹配时显式生成能力缺口。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生成候选 DAG 和 Test IR，标注每个关键断言对应的文档依据。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执行静态编译、策略检查和沙盒试运行。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人工审核身份范围、数据副作用、Agent 预算和确定性断言后发布。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禁止行为  </w:t>
      </w:r>
      <w:r>
        <w:rPr>
          <w:rFonts w:ascii="Calibri" w:hAnsi="Calibri" w:eastAsia="Noto Sans S Chinese Regular" w:cs="Calibri"/>
          <w:color w:val="0B2545"/>
        </w:rPr>
        <w:t>模型不得静默生成不可审计脚本、自动发布、修改已发布用例、用“看起来正确”替代确定性断言，也不得把页面内容当成可信指令。</w:t>
      </w:r>
    </w:p>
    <w:p>
      <w:pPr>
        <w:pStyle w:val="Heading2"/>
      </w:pPr>
      <w:r>
        <w:t>5.2 Test IR 最小结构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"specRevision": "doc_rev_18",</w:t>
        <w:br/>
        <w:t xml:space="preserve">  "roleBindings": {</w:t>
        <w:br/>
        <w:t xml:space="preserve">    "operator": "sales"</w:t>
        <w:br/>
        <w:t xml:space="preserve">  },</w:t>
        <w:br/>
        <w:t xml:space="preserve">  "fixtureGraph": [</w:t>
        <w:br/>
        <w:t xml:space="preserve">    "lease_sales",</w:t>
        <w:br/>
        <w:t xml:space="preserve">    "create_customer",</w:t>
        <w:br/>
        <w:t xml:space="preserve">    "create_visit"</w:t>
        <w:br/>
        <w:t xml:space="preserve">  ],</w:t>
        <w:br/>
        <w:t xml:space="preserve">  "browserGoal": "使用 trackingId 筛选客户并验证角色可见范围",</w:t>
        <w:br/>
        <w:t xml:space="preserve">  "assertions": [</w:t>
        <w:br/>
        <w:t xml:space="preserve">    {</w:t>
        <w:br/>
        <w:t xml:space="preserve">      "type": "api",</w:t>
        <w:br/>
        <w:t xml:space="preserve">      "rule": "result.customerId == customer.id"</w:t>
        <w:br/>
        <w:t xml:space="preserve">    },</w:t>
        <w:br/>
        <w:t xml:space="preserve">    {</w:t>
        <w:br/>
        <w:t xml:space="preserve">      "type": "dom",</w:t>
        <w:br/>
        <w:t xml:space="preserve">      "rule": "rows contains trackingId"</w:t>
        <w:br/>
        <w:t xml:space="preserve">    }</w:t>
        <w:br/>
        <w:t xml:space="preserve">  ],</w:t>
        <w:br/>
        <w:t xml:space="preserve">  "agentPolicy": {</w:t>
        <w:br/>
        <w:t xml:space="preserve">    "maxActions": 12,</w:t>
        <w:br/>
        <w:t xml:space="preserve">    "allowedTools": [</w:t>
        <w:br/>
        <w:t xml:space="preserve">      "observe",</w:t>
        <w:br/>
        <w:t xml:space="preserve">      "click",</w:t>
        <w:br/>
        <w:t xml:space="preserve">      "fill",</w:t>
        <w:br/>
        <w:t xml:space="preserve">      "waitFor"</w:t>
        <w:br/>
        <w:t xml:space="preserve">    ]</w:t>
        <w:br/>
        <w:t xml:space="preserve">  },</w:t>
        <w:br/>
        <w:t xml:space="preserve">  "evidencePolicy": {</w:t>
        <w:br/>
        <w:t xml:space="preserve">    "trace": true,</w:t>
        <w:br/>
        <w:t xml:space="preserve">    "screenshots": "critical-actions"</w:t>
        <w:br/>
        <w:t xml:space="preserve">  }</w:t>
        <w:br/>
        <w:t>}</w:t>
      </w:r>
    </w:p>
    <w:p>
      <w:pPr>
        <w:pStyle w:val="Heading2"/>
      </w:pPr>
      <w:r>
        <w:t>5.3 确定性引擎与 Agent 的职责边界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52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权威执行者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数据准备/清理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确定性引擎</w:t>
            </w:r>
          </w:p>
        </w:tc>
        <w:tc>
          <w:tcPr>
            <w:tcW w:type="dxa" w:w="5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不直接调用任意业务接口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账号租约/凭证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Identity Broker</w:t>
            </w:r>
          </w:p>
        </w:tc>
        <w:tc>
          <w:tcPr>
            <w:tcW w:type="dxa" w:w="5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只得到已建立的会话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DAG 调度/重试/取消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Workflow Engine</w:t>
            </w:r>
          </w:p>
        </w:tc>
        <w:tc>
          <w:tcPr>
            <w:tcW w:type="dxa" w:w="5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不拥有流程状态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页面理解与动作选择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受约束 Agent</w:t>
            </w:r>
          </w:p>
        </w:tc>
        <w:tc>
          <w:tcPr>
            <w:tcW w:type="dxa" w:w="5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在白名单工具和动作预算内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成功/失败判定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DOM/API/规则断言</w:t>
            </w:r>
          </w:p>
        </w:tc>
        <w:tc>
          <w:tcPr>
            <w:tcW w:type="dxa" w:w="5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模型只辅助解释，不改变预期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改进建议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可提出新草稿</w:t>
            </w:r>
          </w:p>
        </w:tc>
        <w:tc>
          <w:tcPr>
            <w:tcW w:type="dxa" w:w="5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必须审核后成为新版本</w:t>
            </w:r>
          </w:p>
        </w:tc>
      </w:tr>
    </w:tbl>
    <w:p>
      <w:pPr>
        <w:pStyle w:val="SmallText"/>
      </w:pPr>
    </w:p>
    <w:p>
      <w:pPr>
        <w:pStyle w:val="Heading2"/>
      </w:pPr>
      <w:r>
        <w:t>5.4 Agent Controller</w:t>
      </w:r>
    </w:p>
    <w:p>
      <w:r>
        <w:rPr>
          <w:rFonts w:ascii="Calibri" w:hAnsi="Calibri" w:eastAsia="Noto Sans S Chinese Regular" w:cs="Calibri"/>
        </w:rPr>
        <w:t>每一轮只执行“观察页面 → 生成结构化动作 → 策略校验 → 执行动作 → 采集证据 → 更新状态”。不保存内部思维链，仅保存可审核的动作摘要、工具参数、结果和依据。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定位优先级：data-testid → ARIA role/name → label/placeholder/稳定文本 → 页面能力目录 → 视觉语义 → CSS/XPath 兜底。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运行限制：最大动作数、模型调用次数、执行时间、域名、工具、下载/上传权限和敏感字段范围。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页面内容视为不可信输入；任何提示注入不得改变系统策略、工具权限或数据访问范围。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定位修复标记 healed=true，保留原定位、替代定位和页面证据；不得静默写回已发布用例。</w:t>
      </w:r>
    </w:p>
    <w:p>
      <w:pPr>
        <w:pStyle w:val="Kicker"/>
        <w:keepNext/>
      </w:pPr>
      <w:r>
        <w:t>06 / RUNTIME &amp; EVIDENCE</w:t>
      </w:r>
    </w:p>
    <w:p>
      <w:pPr>
        <w:pStyle w:val="Heading1"/>
      </w:pPr>
      <w:r>
        <w:t>执行引擎、账号租约与证据流</w:t>
      </w:r>
    </w:p>
    <w:p>
      <w:pPr>
        <w:pStyle w:val="Heading2"/>
      </w:pPr>
      <w:r>
        <w:t>6.1 Run 与节点状态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RUN     QUEUED → PREPARING → RUNNING → ASSERTING → CLEANING → PASSED | FAILED | ERROR | CANCELLED</w:t>
        <w:br/>
        <w:t>NODE    PENDING → READY → RUNNING → SUCCEEDED</w:t>
        <w:br/>
        <w:t xml:space="preserve">                           ├→ RETRY_WAIT → RUNNING</w:t>
        <w:br/>
        <w:t xml:space="preserve">                           ├→ FAILED / SKIPPED / CANCELLED</w:t>
      </w:r>
    </w:p>
    <w:p>
      <w:r>
        <w:rPr>
          <w:rFonts w:ascii="Calibri" w:hAnsi="Calibri" w:eastAsia="Noto Sans S Chinese Regular" w:cs="Calibri"/>
        </w:rPr>
        <w:t>节点完成后立即持久化输出与检查点。编排服务或 Worker 崩溃时从最近检查点恢复，不从头重建业务数据。Run 的权威状态来自追加写事件与持久化工作流，实时页面只是状态投影。</w:t>
      </w:r>
    </w:p>
    <w:p>
      <w:pPr>
        <w:pStyle w:val="Heading2"/>
      </w:pPr>
      <w:r>
        <w:t>6.2 账号租约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按项目、环境、租户和业务角色筛选账号池。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使用数据库原子抢占或等价机制获得独占账号，生成带 TTL 与 fencing token 的租约。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Worker 周期性心跳续租；每次敏感操作携带 fencing token，拒绝过期租约。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运行结束释放租约；Worker 失联后由回收器强制释放并执行账号健康检查。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只有明确只读且被测系统支持并发会话的账号才允许共享。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隔离要求  </w:t>
      </w:r>
      <w:r>
        <w:rPr>
          <w:rFonts w:ascii="Calibri" w:hAnsi="Calibri" w:eastAsia="Noto Sans S Chinese Regular" w:cs="Calibri"/>
          <w:color w:val="0B2545"/>
        </w:rPr>
        <w:t>每个 UnitAttempt 创建独立 Browser Context，隔离 Cookie、LocalStorage、IndexedDB、下载目录、Trace、录像、Locale、时区与网络代理。</w:t>
      </w:r>
    </w:p>
    <w:p>
      <w:pPr>
        <w:pStyle w:val="Heading2"/>
      </w:pPr>
      <w:r>
        <w:t>6.3 重试、幂等与恢复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500"/>
        <w:gridCol w:w="17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错误类型</w:t>
            </w:r>
          </w:p>
        </w:tc>
        <w:tc>
          <w:tcPr>
            <w:tcW w:type="dxa" w:w="5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策略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分类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API 超时 / 429 / 5xx</w:t>
            </w:r>
          </w:p>
        </w:tc>
        <w:tc>
          <w:tcPr>
            <w:tcW w:type="dxa" w:w="5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指数退避；保持业务幂等键不变</w:t>
            </w:r>
          </w:p>
        </w:tc>
        <w:tc>
          <w:tcPr>
            <w:tcW w:type="dxa" w:w="1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可重试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业务 4xx</w:t>
            </w:r>
          </w:p>
        </w:tc>
        <w:tc>
          <w:tcPr>
            <w:tcW w:type="dxa" w:w="5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直接失败并结构化分类</w:t>
            </w:r>
          </w:p>
        </w:tc>
        <w:tc>
          <w:tcPr>
            <w:tcW w:type="dxa" w:w="1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不重试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断言失败</w:t>
            </w:r>
          </w:p>
        </w:tc>
        <w:tc>
          <w:tcPr>
            <w:tcW w:type="dxa" w:w="5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默认不重试；可配置最终一致性轮询</w:t>
            </w:r>
          </w:p>
        </w:tc>
        <w:tc>
          <w:tcPr>
            <w:tcW w:type="dxa" w:w="1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有限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元素暂未加载</w:t>
            </w:r>
          </w:p>
        </w:tc>
        <w:tc>
          <w:tcPr>
            <w:tcW w:type="dxa" w:w="5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重新观察后有限重试</w:t>
            </w:r>
          </w:p>
        </w:tc>
        <w:tc>
          <w:tcPr>
            <w:tcW w:type="dxa" w:w="1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有限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点击结果未知</w:t>
            </w:r>
          </w:p>
        </w:tc>
        <w:tc>
          <w:tcPr>
            <w:tcW w:type="dxa" w:w="5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先检查页面状态，不盲目重复点击</w:t>
            </w:r>
          </w:p>
        </w:tc>
        <w:tc>
          <w:tcPr>
            <w:tcW w:type="dxa" w:w="1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状态探测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账号失效</w:t>
            </w:r>
          </w:p>
        </w:tc>
        <w:tc>
          <w:tcPr>
            <w:tcW w:type="dxa" w:w="5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隔离账号；最多更换一次账号</w:t>
            </w:r>
          </w:p>
        </w:tc>
        <w:tc>
          <w:tcPr>
            <w:tcW w:type="dxa" w:w="1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一次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Worker 失联</w:t>
            </w:r>
          </w:p>
        </w:tc>
        <w:tc>
          <w:tcPr>
            <w:tcW w:type="dxa" w:w="5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从节点检查点恢复</w:t>
            </w:r>
          </w:p>
        </w:tc>
        <w:tc>
          <w:tcPr>
            <w:tcW w:type="dxa" w:w="1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恢复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清理失败</w:t>
            </w:r>
          </w:p>
        </w:tc>
        <w:tc>
          <w:tcPr>
            <w:tcW w:type="dxa" w:w="5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后台 Sweeper 重试，不覆盖测试结论</w:t>
            </w:r>
          </w:p>
        </w:tc>
        <w:tc>
          <w:tcPr>
            <w:tcW w:type="dxa" w:w="1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最终重试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 w:cs="Calibri"/>
        </w:rPr>
        <w:t>平台采用“至少一次执行 + 幂等键 + 补偿动作”，不承诺跨外部系统的严格 Exactly Once。业务幂等键固定为 {runId}:{nodeId}:{logicalOperation}，Activity retry 序号不进入业务幂等键。</w:t>
      </w:r>
    </w:p>
    <w:p>
      <w:pPr>
        <w:pStyle w:val="Heading2"/>
      </w:pPr>
      <w:r>
        <w:t>6.4 事件与证据协议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"runId": "run_01J2D8",</w:t>
        <w:br/>
        <w:t xml:space="preserve">  "sequence": 37,</w:t>
        <w:br/>
        <w:t xml:space="preserve">  "type": "browser.action.completed",</w:t>
        <w:br/>
        <w:t xml:space="preserve">  "nodeId": "verify_filter",</w:t>
        <w:br/>
        <w:t xml:space="preserve">  "actor": "agent",</w:t>
        <w:br/>
        <w:t xml:space="preserve">  "summary": "已在追踪 ID 筛选框中输入测试数据",</w:t>
        <w:br/>
        <w:t xml:space="preserve">  "payload": {</w:t>
        <w:br/>
        <w:t xml:space="preserve">    "action": "fill",</w:t>
        <w:br/>
        <w:t xml:space="preserve">    "target": {</w:t>
        <w:br/>
        <w:t xml:space="preserve">      "role": "textbox",</w:t>
        <w:br/>
        <w:t xml:space="preserve">      "name": "追踪 ID"</w:t>
        <w:br/>
        <w:t xml:space="preserve">    },</w:t>
        <w:br/>
        <w:t xml:space="preserve">    "valueMasked": "TRK-****-0008"</w:t>
        <w:br/>
        <w:t xml:space="preserve">  },</w:t>
        <w:br/>
        <w:t xml:space="preserve">  "evidence": [</w:t>
        <w:br/>
        <w:t xml:space="preserve">    {</w:t>
        <w:br/>
        <w:t xml:space="preserve">      "type": "screenshot",</w:t>
        <w:br/>
        <w:t xml:space="preserve">      "artifactId": "art_882"</w:t>
        <w:br/>
        <w:t xml:space="preserve">    }</w:t>
        <w:br/>
        <w:t xml:space="preserve">  ],</w:t>
        <w:br/>
        <w:t xml:space="preserve">  "trace": {</w:t>
        <w:br/>
        <w:t xml:space="preserve">    "traceId": "tr_91",</w:t>
        <w:br/>
        <w:t xml:space="preserve">    "spanId": "sp_382"</w:t>
        <w:br/>
        <w:t xml:space="preserve">  }</w:t>
        <w:br/>
        <w:t>}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事件类型按 run.*、node.*、data.*、account.lease.*、agent.goal.*、browser.action.*、assertion.*、artifact.*、cleanup.*、error.* 分组。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前端先 REST 拉取当前投影，再以 afterSequence 接续 SSE/WebSocket；断线重连不会丢事件。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截图、Trace、DOM、HAR、视频存对象存储；数据库只保存元数据、哈希、摘要和对象引用。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实时画面只在有人观看时开启；界面显示动作摘要与证据，不展示内部思维链。</w:t>
      </w:r>
    </w:p>
    <w:p>
      <w:pPr>
        <w:pStyle w:val="Heading2"/>
      </w:pPr>
      <w:r>
        <w:t>6.5 失败分类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4960"/>
        <w:gridCol w:w="1700"/>
      </w:tblGrid>
      <w:tr>
        <w:trPr>
          <w:tblHeader w:val="true"/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代码</w:t>
            </w:r>
          </w:p>
        </w:tc>
        <w:tc>
          <w:tcPr>
            <w:tcW w:type="dxa" w:w="4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ASSERTION_FAILED</w:t>
            </w:r>
          </w:p>
        </w:tc>
        <w:tc>
          <w:tcPr>
            <w:tcW w:type="dxa" w:w="4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产品行为与明确预期不符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Failed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DATA_SETUP_FAILED</w:t>
            </w:r>
          </w:p>
        </w:tc>
        <w:tc>
          <w:tcPr>
            <w:tcW w:type="dxa" w:w="4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原子组件或依赖数据失败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Error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IDENTITY_UNAVAILABLE</w:t>
            </w:r>
          </w:p>
        </w:tc>
        <w:tc>
          <w:tcPr>
            <w:tcW w:type="dxa" w:w="4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账号池耗尽、锁定或凭证失效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Error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LOCATOR_DRIFT</w:t>
            </w:r>
          </w:p>
        </w:tc>
        <w:tc>
          <w:tcPr>
            <w:tcW w:type="dxa" w:w="4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页面结构变化导致定位失效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Error / 可修复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AGENT_BUDGET_EXCEEDED</w:t>
            </w:r>
          </w:p>
        </w:tc>
        <w:tc>
          <w:tcPr>
            <w:tcW w:type="dxa" w:w="4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动作、时间或模型预算耗尽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Error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ENVIRONMENT_UNAVAILABLE</w:t>
            </w:r>
          </w:p>
        </w:tc>
        <w:tc>
          <w:tcPr>
            <w:tcW w:type="dxa" w:w="4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环境或依赖不可用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Error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PLATFORM_ERROR</w:t>
            </w:r>
          </w:p>
        </w:tc>
        <w:tc>
          <w:tcPr>
            <w:tcW w:type="dxa" w:w="4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Worker、编排、存储等平台异常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Error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CLEANUP_FAILED</w:t>
            </w:r>
          </w:p>
        </w:tc>
        <w:tc>
          <w:tcPr>
            <w:tcW w:type="dxa" w:w="4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资源未最终清理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独立卫生告警</w:t>
            </w:r>
          </w:p>
        </w:tc>
      </w:tr>
    </w:tbl>
    <w:p>
      <w:pPr>
        <w:pStyle w:val="SmallText"/>
      </w:pPr>
    </w:p>
    <w:p>
      <w:pPr>
        <w:pStyle w:val="Kicker"/>
        <w:keepNext/>
      </w:pPr>
      <w:r>
        <w:t>07 / SYSTEM ARCHITECTURE</w:t>
      </w:r>
    </w:p>
    <w:p>
      <w:pPr>
        <w:pStyle w:val="Heading1"/>
      </w:pPr>
      <w:r>
        <w:t>总体技术架构与技术选型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080"/>
            <wp:docPr id="3" name="Picture 3" descr="图 3  总体架构：设计态、控制面、持久化编排、执行面与基础设施" title="图 3  总体架构：设计态、控制面、持久化编排、执行面与基础设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3  总体架构：设计态、控制面、持久化编排、执行面与基础设施</w:t>
      </w:r>
    </w:p>
    <w:p>
      <w:pPr>
        <w:pStyle w:val="Heading2"/>
      </w:pPr>
      <w:r>
        <w:t>7.1 服务边界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760"/>
        <w:gridCol w:w="140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服务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层次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Asset Service</w:t>
            </w:r>
          </w:p>
        </w:tc>
        <w:tc>
          <w:tcPr>
            <w:tcW w:type="dxa" w:w="5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功能文档、原子组件、用例、工作流、版本发布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设计态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Compiler Service</w:t>
            </w:r>
          </w:p>
        </w:tc>
        <w:tc>
          <w:tcPr>
            <w:tcW w:type="dxa" w:w="5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 IR 生成、静态校验、ExecutionBundle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控制面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Identity Broker</w:t>
            </w:r>
          </w:p>
        </w:tc>
        <w:tc>
          <w:tcPr>
            <w:tcW w:type="dxa" w:w="5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角色、账号池、健康、租约和短期凭证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控制面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Run Orchestrator</w:t>
            </w:r>
          </w:p>
        </w:tc>
        <w:tc>
          <w:tcPr>
            <w:tcW w:type="dxa" w:w="5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单/批调度、状态机、取消、重试、Finalize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控制面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Data Worker</w:t>
            </w:r>
          </w:p>
        </w:tc>
        <w:tc>
          <w:tcPr>
            <w:tcW w:type="dxa" w:w="5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API 原子组件、资源台账、清理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执行面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Browser Agent Worker</w:t>
            </w:r>
          </w:p>
        </w:tc>
        <w:tc>
          <w:tcPr>
            <w:tcW w:type="dxa" w:w="5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Playwright、Agent Controller、页面证据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执行面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Evidence Service</w:t>
            </w:r>
          </w:p>
        </w:tc>
        <w:tc>
          <w:tcPr>
            <w:tcW w:type="dxa" w:w="5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事件、截图、Trace、脱敏、对象存储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基础服务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Projection &amp; Report</w:t>
            </w:r>
          </w:p>
        </w:tc>
        <w:tc>
          <w:tcPr>
            <w:tcW w:type="dxa" w:w="5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运行投影、失败聚类、迭代报告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查询面</w:t>
            </w:r>
          </w:p>
        </w:tc>
      </w:tr>
    </w:tbl>
    <w:p>
      <w:pPr>
        <w:pStyle w:val="SmallText"/>
      </w:pPr>
    </w:p>
    <w:p>
      <w:pPr>
        <w:pStyle w:val="Heading2"/>
      </w:pPr>
      <w:r>
        <w:t>7.2 建议技术栈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60"/>
        <w:gridCol w:w="430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建议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管理前端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React / Next.js / Python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复用当前原型技术栈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空间画布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React Flow 起步，关键交互逐步自研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降低首期画布成本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API 服务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FastAPI / Python 3.14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统一类型与团队心智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持久化工作流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Temporal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长流程、重试、恢复、取消和 Finalize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浏览器引擎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Playwright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隔离 Browser Context、Trace 与网络观察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主数据库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PostgreSQL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关系资产 + JSONB 契约/快照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缓存/短队列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Redis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租约辅助、实时投影和 MVP 事件流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对象存储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S3 / MinIO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截图、Trace、DOM、HAR、视频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密钥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Vault / 云 KMS/Secrets Manager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业务库只保存 CredentialRef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可观测性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OpenTelemetry + Prometheus/Grafana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Trace、指标、日志统一上下文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部署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Kubernetes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控制面与浏览器执行池独立扩缩</w:t>
            </w:r>
          </w:p>
        </w:tc>
      </w:tr>
    </w:tbl>
    <w:p>
      <w:pPr>
        <w:pStyle w:val="SmallText"/>
      </w:pPr>
    </w:p>
    <w:p>
      <w:pPr>
        <w:pStyle w:val="Heading2"/>
      </w:pPr>
      <w:r>
        <w:t>7.3 部署拓扑与网络边界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test-platform-control：API、资产、编译器、调度、报告；可访问主数据库。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test-platform-execution：Data Worker、Browser Agent Worker、Assertion Worker；严格网络策略和临时磁盘。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test-platform-observability：事件投影、Telemetry Collector、日志、指标与 Trace。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Browser Worker 只允许访问模型网关、证据服务、当前运行被测域名和必要认证域名；不得直连主数据库。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凭据通过短时租约令牌获取，运行结束立即失效；浏览器执行池按队列和账号容量独立扩缩。</w:t>
      </w:r>
    </w:p>
    <w:p>
      <w:pPr>
        <w:pStyle w:val="Heading2"/>
      </w:pPr>
      <w:r>
        <w:t>7.4 选型依据</w:t>
      </w:r>
    </w:p>
    <w:p>
      <w:r>
        <w:rPr>
          <w:rFonts w:ascii="Calibri" w:hAnsi="Calibri" w:eastAsia="Noto Sans S Chinese Regular" w:cs="Calibri"/>
        </w:rPr>
        <w:t>Playwright 以独立 Browser Context 提供测试隔离，并提供 Trace Viewer 查看动作时间线、DOM 快照和网络信息。Temporal 的工作流事件历史和重放机制适合承载长时间、可失败、需要恢复和最终清理的测试运行。OpenTelemetry 用统一上下文串联 traces、metrics 与 logs。PostgreSQL JSONB 适合保存版本化契约与快照，同时保留关系模型的完整性约束。</w:t>
      </w:r>
    </w:p>
    <w:p>
      <w:pPr>
        <w:pStyle w:val="Kicker"/>
        <w:keepNext/>
      </w:pPr>
      <w:r>
        <w:t>08 / DATA &amp; API</w:t>
      </w:r>
    </w:p>
    <w:p>
      <w:pPr>
        <w:pStyle w:val="Heading1"/>
      </w:pPr>
      <w:r>
        <w:t>核心数据模型与 API 边界</w:t>
      </w:r>
    </w:p>
    <w:p>
      <w:pPr>
        <w:pStyle w:val="Heading2"/>
      </w:pPr>
      <w:r>
        <w:t>8.1 核心表组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400"/>
        <w:gridCol w:w="346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表组</w:t>
            </w:r>
          </w:p>
        </w:tc>
        <w:tc>
          <w:tcPr>
            <w:tcW w:type="dxa" w:w="4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代表实体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项目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project / environment / iteration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隔离、配置、配额、目标版本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知识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feature_document / feature_revision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原文、内容哈希、结构化规格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组件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component / component_version / component_port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契约、执行器、副作用、发布状态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测试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test_case / test_case_version / workflow_version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身份、DAG、断言、版本引用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身份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test_role / test_account / account_pool / account_lease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角色、凭证引用、健康与租约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运行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task_plan_version / task_run / execution_unit / unit_attempt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批次、状态、检查点、尝试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副作用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resource_ledger / cleanup_attempt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外部资源与最终清理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证据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execution_event / artifact / failure / triage_record</w:t>
            </w:r>
          </w:p>
        </w:tc>
        <w:tc>
          <w:tcPr>
            <w:tcW w:type="dxa" w:w="3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事件、对象引用、失败与归因</w:t>
            </w:r>
          </w:p>
        </w:tc>
      </w:tr>
    </w:tbl>
    <w:p>
      <w:pPr>
        <w:pStyle w:val="SmallText"/>
      </w:pPr>
    </w:p>
    <w:p>
      <w:pPr>
        <w:pStyle w:val="Heading2"/>
      </w:pPr>
      <w:r>
        <w:t>8.2 关键索引与约束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所有资产逻辑表与版本表分离：logical_id + version；Published 行不可更新。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execution_event 唯一键 (run_id, sequence)，保证追加顺序；按 run_id / timestamp 分区或归档。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account_lease 对 exclusive 账号建立有效租约唯一约束，并保存 fencing_token。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resource_ledger 唯一键 (run_id, node_id, resource_type, resource_id)，清理动作幂等。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JSONB 保存 Schema、DAG、快照和事件 Payload；频繁查询字段提升为独立列并建立索引。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artifact 只保存对象引用、哈希、大小、脱敏状态和保留期限，不把大文件放入主库。</w:t>
      </w:r>
    </w:p>
    <w:p>
      <w:pPr>
        <w:pStyle w:val="Heading2"/>
      </w:pPr>
      <w:r>
        <w:t>8.3 对外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3860"/>
        <w:gridCol w:w="130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方法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路径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职责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权限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/api/v1/workflows/compile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静态编译候选 Test IR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作者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/api/v1/components/{id}/validate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组件契约与沙盒验证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维护者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/api/v1/case-versions/{id}/publish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审核后发布不可变版本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审核者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/api/v1/runs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发起单次运行；支持 Idempotency-Key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执行者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/api/v1/run-groups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展开批量运行矩阵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负责人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GET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/api/v1/runs/{runId}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运行投影与版本快照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观察者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GET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/api/v1/runs/{runId}/events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afterSequence 增量事件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观察者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WS/SSE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/api/v1/runs/{runId}/live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实时步骤、帧和控制命令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授权用户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/api/v1/runs/{runId}:cancel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取消业务节点，保留 Finalize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执行者</w:t>
            </w:r>
          </w:p>
        </w:tc>
      </w:tr>
    </w:tbl>
    <w:p>
      <w:pPr>
        <w:pStyle w:val="SmallText"/>
      </w:pPr>
    </w:p>
    <w:p>
      <w:pPr>
        <w:pStyle w:val="Heading2"/>
      </w:pPr>
      <w:r>
        <w:t>8.4 发起运行示例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POST /api/v1/runs</w:t>
        <w:br/>
        <w:t>Idempotency-Key: release-r26.07-case12-sales</w:t>
        <w:br/>
        <w:br/>
        <w:t>{</w:t>
        <w:br/>
        <w:t xml:space="preserve">  "projectId": "prj_crm",</w:t>
        <w:br/>
        <w:t xml:space="preserve">  "caseVersionId": "case_ver_12",</w:t>
        <w:br/>
        <w:t xml:space="preserve">  "environmentId": "env_test",</w:t>
        <w:br/>
        <w:t xml:space="preserve">  "roleBindings": {</w:t>
        <w:br/>
        <w:t xml:space="preserve">    "operator": "sales"</w:t>
        <w:br/>
        <w:t xml:space="preserve">  },</w:t>
        <w:br/>
        <w:t xml:space="preserve">  "input": {</w:t>
        <w:br/>
        <w:t xml:space="preserve">    "customerNamePrefix": "AI测试客户"</w:t>
        <w:br/>
        <w:t xml:space="preserve">  },</w:t>
        <w:br/>
        <w:t xml:space="preserve">  "retention": {</w:t>
        <w:br/>
        <w:t xml:space="preserve">    "evidenceDays": 30,</w:t>
        <w:br/>
        <w:t xml:space="preserve">    "debugDataMinutes": 0</w:t>
        <w:br/>
        <w:t xml:space="preserve">  }</w:t>
        <w:br/>
        <w:t>}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接口原则  </w:t>
      </w:r>
      <w:r>
        <w:rPr>
          <w:rFonts w:ascii="Calibri" w:hAnsi="Calibri" w:eastAsia="Noto Sans S Chinese Regular" w:cs="Calibri"/>
          <w:color w:val="0B2545"/>
        </w:rPr>
        <w:t>Run 创建成功后返回稳定 runId；重复幂等键不得创建多个批次。Webhook 只返回终态、摘要和报告链接，不直接推送敏感证据。</w:t>
      </w:r>
    </w:p>
    <w:p>
      <w:pPr>
        <w:pStyle w:val="Kicker"/>
        <w:keepNext/>
      </w:pPr>
      <w:r>
        <w:t>09 / SECURITY &amp; GOVERNANCE</w:t>
      </w:r>
    </w:p>
    <w:p>
      <w:pPr>
        <w:pStyle w:val="Heading1"/>
      </w:pPr>
      <w:r>
        <w:t>安全、权限、隐私与治理</w:t>
      </w:r>
    </w:p>
    <w:p>
      <w:pPr>
        <w:pStyle w:val="Heading2"/>
      </w:pPr>
      <w:r>
        <w:t>9.1 平台 RBAC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60"/>
        <w:gridCol w:w="380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允许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组织管理员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全局策略、配额、模型、密钥策略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不可直接查看项目密钥明文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项目管理员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环境、成员、账号池、计划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高风险连接器需审批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用例作者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草稿、编排、沙盒试运行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不能发布自己的高风险草稿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用例审核者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审核和发布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发布与创建职责分离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运行操作员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启动、暂停、取消、重跑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手工接管浏览器需单独授权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只读观察者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查看报告和脱敏证据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不能查看凭证和未脱敏 Payload</w:t>
            </w:r>
          </w:p>
        </w:tc>
      </w:tr>
    </w:tbl>
    <w:p>
      <w:pPr>
        <w:pStyle w:val="SmallText"/>
      </w:pPr>
    </w:p>
    <w:p>
      <w:pPr>
        <w:pStyle w:val="Heading2"/>
      </w:pPr>
      <w:r>
        <w:t>9.2 安全控制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密码、Token、Cookie 和密钥仅保存 Vault/KMS 引用；优先短期凭证。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每次 UnitAttempt 使用隔离容器或受控 Worker Slot 与独立 Browser Context。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域名、URL、接口路径和工具白名单；禁止任意 Shell、SQL、JavaScript 与跨域外传。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原子组件发布包签名并记录校验和；运行固定组件版本与执行镜像。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密钥读取、发布、审批、运行、人工接管和证据下载进入不可篡改审计。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页面内容视为不可信，防止 Prompt Injection 改变策略或诱导泄漏上下文。</w:t>
      </w:r>
    </w:p>
    <w:p>
      <w:pPr>
        <w:pStyle w:val="Heading2"/>
      </w:pPr>
      <w:r>
        <w:t>9.3 隐私与证据治理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默认使用合成数据；禁止把生产个人信息复制到测试环境。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日志、截图、DOM、网络载荷和 Agent 上下文使用统一字段级脱敏策略。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成功证据短期保留，失败证据按项目配置更长期限；调试数据必须有 TTL。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证据访问使用短时签名地址与项目权限校验；下载记录进入审计。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删除用例不立即删除仍在保留期内的审计证据；证据按法规和项目策略到期清理。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高风险动作  </w:t>
      </w:r>
      <w:r>
        <w:rPr>
          <w:rFonts w:ascii="Calibri" w:hAnsi="Calibri" w:eastAsia="Noto Sans S Chinese Regular" w:cs="Calibri"/>
          <w:color w:val="0B2545"/>
        </w:rPr>
        <w:t>删除、支付、发布、批量修改、生产环境访问等动作默认禁止；确需开放时必须在 AgentPolicy 中显式授权并支持人工确认。</w:t>
      </w:r>
    </w:p>
    <w:p>
      <w:pPr>
        <w:pStyle w:val="Heading2"/>
      </w:pPr>
      <w:r>
        <w:t>9.4 发布治理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门禁对象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必须检查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原子组件</w:t>
            </w:r>
          </w:p>
        </w:tc>
        <w:tc>
          <w:tcPr>
            <w:tcW w:type="dxa" w:w="7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Schema、Contract、幂等、清理、权限、敏感字段、错误分类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AI 用例</w:t>
            </w:r>
          </w:p>
        </w:tc>
        <w:tc>
          <w:tcPr>
            <w:tcW w:type="dxa" w:w="7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DAG、类型、来源、Agent 预算、确定性断言、人工审核、固定版本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测试计划</w:t>
            </w:r>
          </w:p>
        </w:tc>
        <w:tc>
          <w:tcPr>
            <w:tcW w:type="dxa" w:w="7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账号容量、环境健康、数据配额、Worker 容量、审批和版本冻结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平台版本</w:t>
            </w:r>
          </w:p>
        </w:tc>
        <w:tc>
          <w:tcPr>
            <w:tcW w:type="dxa" w:w="7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黄金回归、Agent 评估、故障注入、安全扫描、迁移、灰度、回滚</w:t>
            </w:r>
          </w:p>
        </w:tc>
      </w:tr>
    </w:tbl>
    <w:p>
      <w:pPr>
        <w:pStyle w:val="SmallText"/>
      </w:pPr>
    </w:p>
    <w:p>
      <w:pPr>
        <w:pStyle w:val="Kicker"/>
        <w:keepNext/>
      </w:pPr>
      <w:r>
        <w:t>10 / DELIVERY PLAN</w:t>
      </w:r>
    </w:p>
    <w:p>
      <w:pPr>
        <w:pStyle w:val="Heading1"/>
      </w:pPr>
      <w:r>
        <w:t>实施路线、团队与工作包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实施假设  </w:t>
      </w:r>
      <w:r>
        <w:rPr>
          <w:rFonts w:ascii="Calibri" w:hAnsi="Calibri" w:eastAsia="Noto Sans S Chinese Regular" w:cs="Calibri"/>
          <w:color w:val="0B2545"/>
        </w:rPr>
        <w:t>基线按 1 个 CRM 试点项目、1 个稳定测试环境、销售/经理两类角色、6 人核心团队、Chromium 桌面浏览器和可用业务 API 估算。若接口或环境尚不稳定，应先增加 2–4 周连接器与环境治理。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73680"/>
            <wp:docPr id="4" name="Picture 4" descr="图 4  14–18 周实施节奏：从基础契约到真实迭代试点" title="图 4  14–18 周实施节奏：从基础契约到真实迭代试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4  14–18 周实施节奏：从基础契约到真实迭代试点</w:t>
      </w:r>
    </w:p>
    <w:p>
      <w:pPr>
        <w:pStyle w:val="Heading2"/>
      </w:pPr>
      <w:r>
        <w:t>10.1 阶段目标与退出门槛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3880"/>
        <w:gridCol w:w="2980"/>
      </w:tblGrid>
      <w:tr>
        <w:trPr>
          <w:tblHeader w:val="true"/>
          <w:cantSplit/>
        </w:trPr>
        <w:tc>
          <w:tcPr>
            <w:tcW w:type="dxa" w:w="1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周期</w:t>
            </w:r>
          </w:p>
        </w:tc>
        <w:tc>
          <w:tcPr>
            <w:tcW w:type="dxa" w:w="38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范围</w:t>
            </w:r>
          </w:p>
        </w:tc>
        <w:tc>
          <w:tcPr>
            <w:tcW w:type="dxa" w:w="29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退出门槛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0–1 验证</w:t>
            </w:r>
          </w:p>
        </w:tc>
        <w:tc>
          <w:tcPr>
            <w:tcW w:type="dxa" w:w="1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W1–6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 项目 / 1 环境 / 2 角色 / 6–10 原子 / 3–5 黄金用例</w:t>
            </w:r>
          </w:p>
        </w:tc>
        <w:tc>
          <w:tcPr>
            <w:tcW w:type="dxa" w:w="2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连续 30 次；平台失败≤5%；清理 100%；账号冲突 0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MVP 平台化</w:t>
            </w:r>
          </w:p>
        </w:tc>
        <w:tc>
          <w:tcPr>
            <w:tcW w:type="dxa" w:w="1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W7–14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15–30 原子 / 30–50 用例 / 10–20 并发 / 批量与报告</w:t>
            </w:r>
          </w:p>
        </w:tc>
        <w:tc>
          <w:tcPr>
            <w:tcW w:type="dxa" w:w="2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支撑 2 个迭代；平台失败&lt;2%；证据完整≥99%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试点加固</w:t>
            </w:r>
          </w:p>
        </w:tc>
        <w:tc>
          <w:tcPr>
            <w:tcW w:type="dxa" w:w="1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W15–18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影子运行、故障注入、容量与安全评审</w:t>
            </w:r>
          </w:p>
        </w:tc>
        <w:tc>
          <w:tcPr>
            <w:tcW w:type="dxa" w:w="2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真实团队可用；P95 事件≤2s；回滚与 Runbook 完成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可规模化</w:t>
            </w:r>
          </w:p>
        </w:tc>
        <w:tc>
          <w:tcPr>
            <w:tcW w:type="dxa" w:w="1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3–6 月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多项目、SSO、配额、CI、组件市场、模型成本治理</w:t>
            </w:r>
          </w:p>
        </w:tc>
        <w:tc>
          <w:tcPr>
            <w:tcW w:type="dxa" w:w="2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2×峰值压测；隔离、RTO/RPO 与灾备达标</w:t>
            </w:r>
          </w:p>
        </w:tc>
      </w:tr>
    </w:tbl>
    <w:p>
      <w:pPr>
        <w:pStyle w:val="SmallText"/>
      </w:pPr>
    </w:p>
    <w:p>
      <w:pPr>
        <w:pStyle w:val="Heading2"/>
      </w:pPr>
      <w:r>
        <w:t>10.2 工作包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58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工作包</w:t>
            </w:r>
          </w:p>
        </w:tc>
        <w:tc>
          <w:tcPr>
            <w:tcW w:type="dxa" w:w="58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明确产出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WP1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 IR 与编译器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Schema、校验器、ExecutionBundle、兼容策略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WP2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原子组件与数据运行时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SDK、注册、DAG、幂等、清理、Sweeper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WP3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身份与账号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角色、账号池、健康、租约、fencing token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WP4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浏览器与 Agent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Playwright、工具白名单、策略、评估集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WP5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编排与调度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Temporal Workflow、批量矩阵、取消恢复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WP6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创作体验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Atom Forge、AI 分镜、审核与版本发布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WP7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运行体验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Fleet View、Run Theater、证据抽屉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WP8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洞察与集成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失败归因、报告、API、Webhook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WP9</w:t>
            </w:r>
          </w:p>
        </w:tc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平台工程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RBAC、审计、Telemetry、告警、Runbook、灾备</w:t>
            </w:r>
          </w:p>
        </w:tc>
      </w:tr>
    </w:tbl>
    <w:p>
      <w:pPr>
        <w:pStyle w:val="SmallText"/>
      </w:pPr>
    </w:p>
    <w:p>
      <w:pPr>
        <w:pStyle w:val="Heading2"/>
      </w:pPr>
      <w:r>
        <w:t>10.3 团队职责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主要责任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产品负责人 / QA 领域负责人</w:t>
            </w:r>
          </w:p>
        </w:tc>
        <w:tc>
          <w:tcPr>
            <w:tcW w:type="dxa" w:w="6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范围、黄金链路、业务验收、试点协调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平台技术负责人</w:t>
            </w:r>
          </w:p>
        </w:tc>
        <w:tc>
          <w:tcPr>
            <w:tcW w:type="dxa" w:w="6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架构、Test IR、运行状态权威、ADR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后端 / 运行时工程师 ×2</w:t>
            </w:r>
          </w:p>
        </w:tc>
        <w:tc>
          <w:tcPr>
            <w:tcW w:type="dxa" w:w="6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控制面、DAG、Temporal、账号、证据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前端体验工程师</w:t>
            </w:r>
          </w:p>
        </w:tc>
        <w:tc>
          <w:tcPr>
            <w:tcW w:type="dxa" w:w="6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Forge、Launchpad、Run Theater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Agent / 自动化工程师 ×1–2</w:t>
            </w:r>
          </w:p>
        </w:tc>
        <w:tc>
          <w:tcPr>
            <w:tcW w:type="dxa" w:w="6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Playwright、AgentPolicy、评估集、定位契约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SRE / 安全 / 设计（兼职）</w:t>
            </w:r>
          </w:p>
        </w:tc>
        <w:tc>
          <w:tcPr>
            <w:tcW w:type="dxa" w:w="6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容量、监控、发布、安全评审与体验把关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完成定义  </w:t>
      </w:r>
      <w:r>
        <w:rPr>
          <w:rFonts w:ascii="Calibri" w:hAnsi="Calibri" w:eastAsia="Noto Sans S Chinese Regular" w:cs="Calibri"/>
          <w:color w:val="0B2545"/>
        </w:rPr>
        <w:t>每个工作包同时具备功能、自动化测试、指标告警、安全检查、运维手册、回滚方案、用户说明和至少一个真实黄金场景验证，才算交付。</w:t>
      </w:r>
    </w:p>
    <w:p>
      <w:pPr>
        <w:pStyle w:val="Kicker"/>
        <w:keepNext/>
      </w:pPr>
      <w:r>
        <w:t>11 / ACCEPTANCE &amp; SLO</w:t>
      </w:r>
    </w:p>
    <w:p>
      <w:pPr>
        <w:pStyle w:val="Heading1"/>
      </w:pPr>
      <w:r>
        <w:t>验收、SLO 与运营指标</w:t>
      </w:r>
    </w:p>
    <w:p>
      <w:pPr>
        <w:pStyle w:val="Heading2"/>
      </w:pPr>
      <w:r>
        <w:t>11.1 六层验收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64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验收面</w:t>
            </w:r>
          </w:p>
        </w:tc>
        <w:tc>
          <w:tcPr>
            <w:tcW w:type="dxa" w:w="64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关键内容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L1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单元与契约</w:t>
            </w:r>
          </w:p>
        </w:tc>
        <w:tc>
          <w:tcPr>
            <w:tcW w:type="dxa" w:w="6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Schema、类型、幂等、清理、租约互斥、状态迁移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L2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黄金工作流</w:t>
            </w:r>
          </w:p>
        </w:tc>
        <w:tc>
          <w:tcPr>
            <w:tcW w:type="dxa" w:w="6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固定应用/数据，每条用例至少重复 30 次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L3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评估</w:t>
            </w:r>
          </w:p>
        </w:tc>
        <w:tc>
          <w:tcPr>
            <w:tcW w:type="dxa" w:w="6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文案/布局/弹窗/延迟/相似控件/Prompt Injection 变化集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L4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故障注入</w:t>
            </w:r>
          </w:p>
        </w:tc>
        <w:tc>
          <w:tcPr>
            <w:tcW w:type="dxa" w:w="6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API 超时、账号过期、Worker 崩溃、存储失败、断线、清理失败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L5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容量与隔离</w:t>
            </w:r>
          </w:p>
        </w:tc>
        <w:tc>
          <w:tcPr>
            <w:tcW w:type="dxa" w:w="6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2×峰值、多项目、账号不足、大证据量、跨项目不可见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L6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真实迭代影子运行</w:t>
            </w:r>
          </w:p>
        </w:tc>
        <w:tc>
          <w:tcPr>
            <w:tcW w:type="dxa" w:w="6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与原流程并行至少一个迭代，人工复核全部失败</w:t>
            </w:r>
          </w:p>
        </w:tc>
      </w:tr>
    </w:tbl>
    <w:p>
      <w:pPr>
        <w:pStyle w:val="SmallText"/>
      </w:pPr>
    </w:p>
    <w:p>
      <w:pPr>
        <w:pStyle w:val="Heading2"/>
      </w:pPr>
      <w:r>
        <w:t>11.2 初始 SLO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900"/>
        <w:gridCol w:w="5060"/>
      </w:tblGrid>
      <w:tr>
        <w:trPr>
          <w:tblHeader w:val="true"/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目标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口径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控制面可用性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99.9% / 月</w:t>
            </w:r>
          </w:p>
        </w:tc>
        <w:tc>
          <w:tcPr>
            <w:tcW w:type="dxa" w:w="5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不含被测系统不可用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正常容量下调度启动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P95 &lt; 60 秒</w:t>
            </w:r>
          </w:p>
        </w:tc>
        <w:tc>
          <w:tcPr>
            <w:tcW w:type="dxa" w:w="5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账号或审批等待单独统计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实时步骤事件延迟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P95 &lt; 2 秒</w:t>
            </w:r>
          </w:p>
        </w:tc>
        <w:tc>
          <w:tcPr>
            <w:tcW w:type="dxa" w:w="5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从服务端事件产生到前端可见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失败证据完整率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≥ 99%</w:t>
            </w:r>
          </w:p>
        </w:tc>
        <w:tc>
          <w:tcPr>
            <w:tcW w:type="dxa" w:w="5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截图/Trace/错误摘要/版本快照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账号重复租约冲突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0</w:t>
            </w:r>
          </w:p>
        </w:tc>
        <w:tc>
          <w:tcPr>
            <w:tcW w:type="dxa" w:w="5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独占账号不得双租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数据最终清理率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100%</w:t>
            </w:r>
          </w:p>
        </w:tc>
        <w:tc>
          <w:tcPr>
            <w:tcW w:type="dxa" w:w="5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允许异步 Sweeper 最终完成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黄金用例稳定性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MVP ≥ 95%</w:t>
            </w:r>
          </w:p>
        </w:tc>
        <w:tc>
          <w:tcPr>
            <w:tcW w:type="dxa" w:w="5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稳定环境排除真实产品缺陷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失败分类准确率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人工抽检 ≥ 90%</w:t>
            </w:r>
          </w:p>
        </w:tc>
        <w:tc>
          <w:tcPr>
            <w:tcW w:type="dxa" w:w="5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首期以规则 + 人工校正为主</w:t>
            </w:r>
          </w:p>
        </w:tc>
      </w:tr>
    </w:tbl>
    <w:p>
      <w:pPr>
        <w:pStyle w:val="SmallText"/>
      </w:pPr>
    </w:p>
    <w:p>
      <w:pPr>
        <w:pStyle w:val="Heading2"/>
      </w:pPr>
      <w:r>
        <w:t>11.3 运营指标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核心指标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采纳</w:t>
            </w:r>
          </w:p>
        </w:tc>
        <w:tc>
          <w:tcPr>
            <w:tcW w:type="dxa" w:w="7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活跃项目、活跃作者、已发布且真实运行用例、原子复用率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效率</w:t>
            </w:r>
          </w:p>
        </w:tc>
        <w:tc>
          <w:tcPr>
            <w:tcW w:type="dxa" w:w="7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文档到首条稳定用例时间、创作时间、维护时间、回归总时长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质量</w:t>
            </w:r>
          </w:p>
        </w:tc>
        <w:tc>
          <w:tcPr>
            <w:tcW w:type="dxa" w:w="7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假失败、假通过、Flaky、缺陷捕获、失败定位时间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Agent</w:t>
            </w:r>
          </w:p>
        </w:tc>
        <w:tc>
          <w:tcPr>
            <w:tcW w:type="dxa" w:w="7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单步完成率、动作数、重规划、接管率、成本、预算超限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资源</w:t>
            </w:r>
          </w:p>
        </w:tc>
        <w:tc>
          <w:tcPr>
            <w:tcW w:type="dxa" w:w="7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队列等待、Worker/账号利用率、证据上传、单次运行成本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不要优化错指标  </w:t>
      </w:r>
      <w:r>
        <w:rPr>
          <w:rFonts w:ascii="Calibri" w:hAnsi="Calibri" w:eastAsia="Noto Sans S Chinese Regular" w:cs="Calibri"/>
          <w:color w:val="0B2545"/>
        </w:rPr>
        <w:t>“用例数量”不是成功。平台首先要降低稳定用例的产出时间、页面变化后的维护成本，以及失败定位时间。</w:t>
      </w:r>
    </w:p>
    <w:p>
      <w:pPr>
        <w:pStyle w:val="Kicker"/>
        <w:keepNext/>
      </w:pPr>
      <w:r>
        <w:t>12 / RISKS &amp; NEXT ACTIONS</w:t>
      </w:r>
    </w:p>
    <w:p>
      <w:pPr>
        <w:pStyle w:val="Heading1"/>
      </w:pPr>
      <w:r>
        <w:t>风险、ADR 与下一步行动</w:t>
      </w:r>
    </w:p>
    <w:p>
      <w:pPr>
        <w:pStyle w:val="Heading2"/>
      </w:pPr>
      <w:r>
        <w:t>12.1 主要风险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4560"/>
        <w:gridCol w:w="90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后果</w:t>
            </w:r>
          </w:p>
        </w:tc>
        <w:tc>
          <w:tcPr>
            <w:tcW w:type="dxa" w:w="45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缓解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级别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Agent 非确定性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结果漂移、团队不信任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单步意图、有限工具、预算、版本冻结、离线评估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Agent 改写预期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假通过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断言权威外置；模型无权修改期望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页面 Prompt Injection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越权或数据泄漏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页面不可信；域名/工具/数据白名单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数据污染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环境不可用、结果互扰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run_id、幂等、Resource Ledger、逆序清理、Sweeper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账号冲突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会话互相覆盖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独占租约、心跳、fencing token、回收器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页面漂移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定位大量失败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data-testid/ARIA 契约、遥测、审核式修复建议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中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模型成本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规模化不可持续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分级模型、缓存、每步预算、项目配额、早停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中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过早通用化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范围失控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仅围绕黄金链路抽象，门槛通过后再扩展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证据泄漏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安全事故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合成数据、字段脱敏、截图遮罩、访问审计与保留期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高</w:t>
            </w:r>
          </w:p>
        </w:tc>
      </w:tr>
    </w:tbl>
    <w:p>
      <w:pPr>
        <w:pStyle w:val="SmallText"/>
      </w:pPr>
    </w:p>
    <w:p>
      <w:pPr>
        <w:pStyle w:val="Heading2"/>
      </w:pPr>
      <w:r>
        <w:t>12.2 首批 ADR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500"/>
        <w:gridCol w:w="566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决策</w:t>
            </w:r>
          </w:p>
        </w:tc>
        <w:tc>
          <w:tcPr>
            <w:tcW w:type="dxa" w:w="56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推荐默认方案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ADR-001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运行状态管理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Temporal 作为权威；数据库保存查询投影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ADR-002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 IR 归属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平台自有、版本化、与模型/Agent 框架解耦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ADR-003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原子边界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优先业务 API；禁止用例直接发任意请求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ADR-004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账号策略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动态临时账号优先，否则独占池 + fencing token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ADR-005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断言信任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DOM/API/业务规则权威，模型只解释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ADR-006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运行隔离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每 UnitAttempt 独立容器/Browser Context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ADR-007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实时画面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MVP 低帧率截图/CDP；接管需求明确后再上 WebRTC/noVNC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ADR-008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版本发布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不可变版本、语义化版本、弃用窗口、快速回滚</w:t>
            </w:r>
          </w:p>
        </w:tc>
      </w:tr>
    </w:tbl>
    <w:p>
      <w:pPr>
        <w:pStyle w:val="SmallText"/>
      </w:pPr>
    </w:p>
    <w:p>
      <w:pPr>
        <w:pStyle w:val="Heading2"/>
      </w:pPr>
      <w:r>
        <w:t>12.3 未来两周行动清单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确认试点项目、测试环境、销售/经理两类角色和账号池负责人。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取得创建客户、创建来访单、删除来访单、删除客户的接口契约与测试权限。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产出 Test IR v0.1、Atom Contract v0.1、Execution Event v0.1 三份 Schema。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确定 Playwright Runner 的网络白名单、证据保留和敏感字段列表。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实现账号租约 Spike：独占、心跳、过期回收、fencing token 和审计。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把黄金链路拆成 6–10 个原子并定义每个端口、幂等键和清理组件。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建立黄金评估集与 30 次连续运行脚本，先测稳定性，再扩展 UI。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为 Temporal、模型网关、对象存储与 Vault/KMS 作出 ADR 并确定环境负责人。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第一场评审的输出  </w:t>
      </w:r>
      <w:r>
        <w:rPr>
          <w:rFonts w:ascii="Calibri" w:hAnsi="Calibri" w:eastAsia="Noto Sans S Chinese Regular" w:cs="Calibri"/>
          <w:color w:val="0B2545"/>
        </w:rPr>
        <w:t>不要评审所有页面。评审只需做出六个执行摘要决策、确认黄金链路、冻结首批 Schema Owner 和 0–1 退出门槛。</w:t>
      </w:r>
    </w:p>
    <w:p>
      <w:pPr>
        <w:pStyle w:val="Kicker"/>
        <w:keepNext/>
      </w:pPr>
      <w:r>
        <w:t>APPENDIX</w:t>
      </w:r>
    </w:p>
    <w:p>
      <w:pPr>
        <w:pStyle w:val="Heading1"/>
      </w:pPr>
      <w:r>
        <w:t>附录：关键协议样例与参考资料</w:t>
      </w:r>
    </w:p>
    <w:p>
      <w:pPr>
        <w:pStyle w:val="Heading2"/>
      </w:pPr>
      <w:r>
        <w:t>A. 原子端口兼容规则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3560"/>
        <w:gridCol w:w="170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目标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完全匹配</w:t>
            </w:r>
          </w:p>
        </w:tc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resource-ref&lt;crm.customer&gt;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resource-ref&lt;crm.customer&gt;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允许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可选接收</w:t>
            </w:r>
          </w:p>
        </w:tc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string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optional&lt;string&gt;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允许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列表映射</w:t>
            </w:r>
          </w:p>
        </w:tc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list&lt;T&gt;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需显式 select/map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跨环境资源</w:t>
            </w:r>
          </w:p>
        </w:tc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env_test customer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env_stage input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裸 ID 到资源</w:t>
            </w:r>
          </w:p>
        </w:tc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string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resource-ref&lt;crm.customer&gt;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禁止隐式转换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敏感到模型</w:t>
            </w:r>
          </w:p>
        </w:tc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secret-ref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context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禁止</w:t>
            </w:r>
          </w:p>
        </w:tc>
      </w:tr>
    </w:tbl>
    <w:p>
      <w:pPr>
        <w:pStyle w:val="SmallText"/>
      </w:pPr>
    </w:p>
    <w:p>
      <w:pPr>
        <w:pStyle w:val="Heading2"/>
      </w:pPr>
      <w:r>
        <w:t>B. Run 最小版本快照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"documentRevision": "doc_rev_18",</w:t>
        <w:br/>
        <w:t xml:space="preserve">  "caseVersion": "case_ver_12",</w:t>
        <w:br/>
        <w:t xml:space="preserve">  "workflowVersion": "3.1.0",</w:t>
        <w:br/>
        <w:t xml:space="preserve">  "componentVersions": {</w:t>
        <w:br/>
        <w:t xml:space="preserve">    "crm.customer.create": "1.2.0",</w:t>
        <w:br/>
        <w:t xml:space="preserve">    "crm.visit.create": "1.1.0"</w:t>
        <w:br/>
        <w:t xml:space="preserve">  },</w:t>
        <w:br/>
        <w:t xml:space="preserve">  "agentPolicyVersion": "browser-agent-7",</w:t>
        <w:br/>
        <w:t xml:space="preserve">  "modelConfig": "model-config-2026-07",</w:t>
        <w:br/>
        <w:t xml:space="preserve">  "promptVersion": "prompt-19",</w:t>
        <w:br/>
        <w:t xml:space="preserve">  "browserImage": "playwright-runner@immutable-digest"</w:t>
        <w:br/>
        <w:t>}</w:t>
      </w:r>
    </w:p>
    <w:p>
      <w:pPr>
        <w:pStyle w:val="Heading2"/>
      </w:pPr>
      <w:r>
        <w:t>C. 参考资料</w:t>
      </w:r>
    </w:p>
    <w:p>
      <w:pPr>
        <w:pStyle w:val="ListBullet"/>
        <w:spacing w:after="60" w:line="252" w:lineRule="auto"/>
      </w:pPr>
      <w:hyperlink r:id="rId17">
        <w:r>
          <w:rPr>
            <w:color w:val="2E74B5"/>
            <w:u w:val="single"/>
          </w:rPr>
          <w:t>Temporal Workflow Execution</w:t>
        </w:r>
      </w:hyperlink>
    </w:p>
    <w:p>
      <w:pPr>
        <w:pStyle w:val="ListBullet"/>
        <w:spacing w:after="60" w:line="252" w:lineRule="auto"/>
      </w:pPr>
      <w:hyperlink r:id="rId18">
        <w:r>
          <w:rPr>
            <w:color w:val="2E74B5"/>
            <w:u w:val="single"/>
          </w:rPr>
          <w:t>Temporal Event History and Durable Replay</w:t>
        </w:r>
      </w:hyperlink>
    </w:p>
    <w:p>
      <w:pPr>
        <w:pStyle w:val="ListBullet"/>
        <w:spacing w:after="60" w:line="252" w:lineRule="auto"/>
      </w:pPr>
      <w:hyperlink r:id="rId19">
        <w:r>
          <w:rPr>
            <w:color w:val="2E74B5"/>
            <w:u w:val="single"/>
          </w:rPr>
          <w:t>Playwright Browser Context Isolation</w:t>
        </w:r>
      </w:hyperlink>
    </w:p>
    <w:p>
      <w:pPr>
        <w:pStyle w:val="ListBullet"/>
        <w:spacing w:after="60" w:line="252" w:lineRule="auto"/>
      </w:pPr>
      <w:hyperlink r:id="rId20">
        <w:r>
          <w:rPr>
            <w:color w:val="2E74B5"/>
            <w:u w:val="single"/>
          </w:rPr>
          <w:t>Playwright Trace Viewer</w:t>
        </w:r>
      </w:hyperlink>
    </w:p>
    <w:p>
      <w:pPr>
        <w:pStyle w:val="ListBullet"/>
        <w:spacing w:after="60" w:line="252" w:lineRule="auto"/>
      </w:pPr>
      <w:hyperlink r:id="rId21">
        <w:r>
          <w:rPr>
            <w:color w:val="2E74B5"/>
            <w:u w:val="single"/>
          </w:rPr>
          <w:t>Playwright APIRequestContext</w:t>
        </w:r>
      </w:hyperlink>
    </w:p>
    <w:p>
      <w:pPr>
        <w:pStyle w:val="ListBullet"/>
        <w:spacing w:after="60" w:line="252" w:lineRule="auto"/>
      </w:pPr>
      <w:hyperlink r:id="rId22">
        <w:r>
          <w:rPr>
            <w:color w:val="2E74B5"/>
            <w:u w:val="single"/>
          </w:rPr>
          <w:t>OpenTelemetry Documentation</w:t>
        </w:r>
      </w:hyperlink>
    </w:p>
    <w:p>
      <w:pPr>
        <w:pStyle w:val="ListBullet"/>
        <w:spacing w:after="60" w:line="252" w:lineRule="auto"/>
      </w:pPr>
      <w:hyperlink r:id="rId23">
        <w:r>
          <w:rPr>
            <w:color w:val="2E74B5"/>
            <w:u w:val="single"/>
          </w:rPr>
          <w:t>PostgreSQL JSON Types</w:t>
        </w:r>
      </w:hyperlink>
    </w:p>
    <w:p>
      <w:r>
        <w:br w:type="page"/>
      </w:r>
    </w:p>
    <w:p>
      <w:pPr>
        <w:pStyle w:val="Kicker"/>
        <w:keepNext/>
      </w:pPr>
      <w:r>
        <w:t>CLOSING PRINCIPLE</w:t>
      </w:r>
    </w:p>
    <w:p>
      <w:pPr>
        <w:spacing w:before="1440" w:after="240"/>
      </w:pPr>
      <w:r>
        <w:rPr>
          <w:rFonts w:ascii="Calibri" w:hAnsi="Calibri" w:eastAsia="Noto Sans S Chinese Bold" w:cs="Calibri"/>
          <w:b/>
          <w:color w:val="10151E"/>
          <w:sz w:val="48"/>
        </w:rPr>
        <w:t>落地的核心，</w:t>
        <w:br/>
        <w:t>不是让 Agent 更自由。</w:t>
      </w:r>
    </w:p>
    <w:p>
      <w:pPr>
        <w:spacing w:after="600"/>
      </w:pPr>
      <w:r>
        <w:rPr>
          <w:rFonts w:ascii="Calibri" w:hAnsi="Calibri" w:eastAsia="Noto Sans S Chinese Medium" w:cs="Calibri"/>
          <w:color w:val="687386"/>
          <w:sz w:val="27"/>
        </w:rPr>
        <w:t>而是把不确定性放进可版本、可约束、可恢复、可审计的运行边界。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01  版本  </w:t>
      </w:r>
      <w:r>
        <w:rPr>
          <w:rFonts w:ascii="Calibri" w:hAnsi="Calibri" w:eastAsia="Noto Sans S Chinese Regular" w:cs="Calibri"/>
          <w:color w:val="0B2545"/>
        </w:rPr>
        <w:t>让每一次运行都能回答：用了哪份文档、哪个用例、哪些原子、什么模型和浏览器镜像。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02  边界  </w:t>
      </w:r>
      <w:r>
        <w:rPr>
          <w:rFonts w:ascii="Calibri" w:hAnsi="Calibri" w:eastAsia="Noto Sans S Chinese Regular" w:cs="Calibri"/>
          <w:color w:val="0B2545"/>
        </w:rPr>
        <w:t>让数据、账号、调度、断言与清理保持确定性；让 Agent 只承担页面中真正需要适应的部分。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03  证据  </w:t>
      </w:r>
      <w:r>
        <w:rPr>
          <w:rFonts w:ascii="Calibri" w:hAnsi="Calibri" w:eastAsia="Noto Sans S Chinese Regular" w:cs="Calibri"/>
          <w:color w:val="0B2545"/>
        </w:rPr>
        <w:t>让团队能回放动作、验证结论、区分产品失败与平台错误，并对历史结果保持信任。</w:t>
      </w:r>
    </w:p>
    <w:p>
      <w:pPr>
        <w:spacing w:before="560"/>
      </w:pPr>
      <w:r>
        <w:rPr>
          <w:rFonts w:ascii="Calibri" w:hAnsi="Calibri" w:eastAsia="Noto Sans S Chinese Regular" w:cs="Calibri"/>
          <w:b/>
          <w:color w:val="2E74B5"/>
          <w:sz w:val="21"/>
        </w:rPr>
        <w:t>NEXT  /  确认六个执行摘要决策，冻结黄金链路和首批 Schema Owner。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5" w:color="D8DEE8"/>
      </w:pBdr>
    </w:pPr>
    <w:r>
      <w:rPr>
        <w:rFonts w:ascii="Calibri" w:hAnsi="Calibri" w:eastAsia="Noto Sans S Chinese Regular" w:cs="Calibri"/>
        <w:b/>
        <w:color w:val="687386"/>
        <w:sz w:val="17"/>
      </w:rPr>
      <w:t>ATLAS  /  AI 测试平台落地方案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Noto Sans S Chinese Regular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S Chinese Regular" w:cs="Calibri"/>
      <w:b/>
      <w:color w:val="1015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Noto Sans S Chinese Regular" w:cs="Calibri"/>
      <w:i/>
      <w:iCs/>
      <w:color w:val="687386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200"/>
      <w:jc w:val="center"/>
    </w:pPr>
    <w:rPr>
      <w:rFonts w:ascii="Calibri" w:hAnsi="Calibri" w:eastAsia="Noto Sans S Chinese Regular" w:cs="Calibri"/>
      <w:b/>
      <w:bCs/>
      <w:i/>
      <w:color w:val="68738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 w:line="240" w:lineRule="auto"/>
      <w:ind w:left="216" w:right="216"/>
    </w:pPr>
    <w:rPr>
      <w:rFonts w:ascii="Liberation Mono" w:hAnsi="Liberation Mono" w:eastAsia="Noto Sans S Chinese Regular" w:cs="Liberation Mono"/>
      <w:color w:val="0B2545"/>
      <w:sz w:val="16"/>
    </w:rPr>
  </w:style>
  <w:style w:type="paragraph" w:customStyle="1" w:styleId="SmallText">
    <w:name w:val="Small Text"/>
    <w:pPr>
      <w:spacing w:before="0" w:after="80" w:line="252" w:lineRule="auto"/>
    </w:pPr>
    <w:rPr>
      <w:rFonts w:ascii="Calibri" w:hAnsi="Calibri" w:eastAsia="Noto Sans S Chinese Regular" w:cs="Calibri"/>
      <w:color w:val="687386"/>
      <w:sz w:val="18"/>
    </w:rPr>
  </w:style>
  <w:style w:type="paragraph" w:customStyle="1" w:styleId="Kicker">
    <w:name w:val="Kicker"/>
    <w:pPr>
      <w:keepNext/>
      <w:spacing w:before="0" w:after="160"/>
    </w:pPr>
    <w:rPr>
      <w:rFonts w:ascii="Calibri" w:hAnsi="Calibri" w:eastAsia="Noto Sans S Chinese Medium" w:cs="Calibri"/>
      <w:b/>
      <w:color w:val="2E74B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docs.temporal.io/workflow-execution" TargetMode="External"/><Relationship Id="rId18" Type="http://schemas.openxmlformats.org/officeDocument/2006/relationships/hyperlink" Target="https://docs.temporal.io/workflow-execution/event" TargetMode="External"/><Relationship Id="rId19" Type="http://schemas.openxmlformats.org/officeDocument/2006/relationships/hyperlink" Target="https://playwright.dev/docs/browser-contexts" TargetMode="External"/><Relationship Id="rId20" Type="http://schemas.openxmlformats.org/officeDocument/2006/relationships/hyperlink" Target="https://playwright.dev/docs/trace-viewer" TargetMode="External"/><Relationship Id="rId21" Type="http://schemas.openxmlformats.org/officeDocument/2006/relationships/hyperlink" Target="https://playwright.dev/docs/api/class-apirequestcontext" TargetMode="External"/><Relationship Id="rId22" Type="http://schemas.openxmlformats.org/officeDocument/2006/relationships/hyperlink" Target="https://opentelemetry.io/docs/" TargetMode="External"/><Relationship Id="rId23" Type="http://schemas.openxmlformats.org/officeDocument/2006/relationships/hyperlink" Target="https://www.postgresql.org/docs/current/datatype-js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测试平台落地方案 v1.1</dc:title>
  <dc:subject>原子组件、数据依赖、浏览器 Agent、批量执行与证据可视化的实施蓝图</dc:subject>
  <dc:creator>Atlas Test Space</dc:creator>
  <cp:keywords>Atlas; Python 3.14; FastAPI; Pydantic; Temporal; Playwright</cp:keywords>
  <dc:description>Status: Accepted baseline. Backend baseline: Python 3.14.</dc:description>
  <cp:lastModifiedBy>Atlas Test Space</cp:lastModifiedBy>
  <cp:revision>11</cp:revision>
  <dcterms:created xsi:type="dcterms:W3CDTF">2013-12-23T23:15:00Z</dcterms:created>
  <dcterms:modified xsi:type="dcterms:W3CDTF">2026-07-13T12:00:00Z</dcterms:modified>
  <cp:category/>
</cp:coreProperties>
</file>