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Calibri" w:hAnsi="Calibri" w:eastAsia="Noto Sans S Chinese Regular" w:cs="Calibri"/>
          <w:b/>
          <w:color w:val="2E74B5"/>
          <w:sz w:val="20"/>
        </w:rPr>
        <w:t>ATLAS / FIXTURE STUDIO</w:t>
      </w:r>
    </w:p>
    <w:p>
      <w:pPr>
        <w:spacing w:before="920" w:after="160"/>
      </w:pPr>
      <w:r>
        <w:rPr>
          <w:rFonts w:ascii="Calibri" w:hAnsi="Calibri" w:eastAsia="Noto Sans S Chinese Bold" w:cs="Calibri"/>
          <w:b/>
          <w:color w:val="10151E"/>
          <w:sz w:val="56"/>
        </w:rPr>
        <w:t>数据预加载与</w:t>
        <w:br/>
        <w:t>原子组件编排</w:t>
      </w:r>
    </w:p>
    <w:p>
      <w:pPr>
        <w:spacing w:after="600"/>
      </w:pPr>
      <w:r>
        <w:rPr>
          <w:rFonts w:ascii="Calibri" w:hAnsi="Calibri" w:eastAsia="Noto Sans S Chinese Medium" w:cs="Calibri"/>
          <w:b/>
          <w:color w:val="2E74B5"/>
          <w:sz w:val="30"/>
        </w:rPr>
        <w:t>功能设计对齐稿  v0.2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一句话定义  </w:t>
      </w:r>
      <w:r>
        <w:rPr>
          <w:rFonts w:ascii="Calibri" w:hAnsi="Calibri" w:eastAsia="Noto Sans S Chinese Regular" w:cs="Calibri"/>
          <w:color w:val="0B2545"/>
        </w:rPr>
        <w:t>把“创建客户”“创建来访单”等业务能力沉淀为强类型、可版本、可验证、可回收的原子组件；用 DAG 组合成数据蓝图，在每次测试前稳定创建数据，并在测试后按资源依赖逆序清理。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Regular" w:cs="Calibri"/>
                <w:b/>
                <w:color w:val="687386"/>
                <w:sz w:val="15"/>
              </w:rPr>
              <w:t>STATUS</w:t>
              <w:br/>
            </w:r>
            <w:r>
              <w:rPr>
                <w:rFonts w:ascii="Calibri" w:hAnsi="Calibri" w:eastAsia="Noto Sans S Chinese Regular" w:cs="Calibri"/>
                <w:b/>
                <w:color w:val="10151E"/>
                <w:sz w:val="18"/>
              </w:rPr>
              <w:t>对齐中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Regular" w:cs="Calibri"/>
                <w:b/>
                <w:color w:val="687386"/>
                <w:sz w:val="15"/>
              </w:rPr>
              <w:t>DATE</w:t>
              <w:br/>
            </w:r>
            <w:r>
              <w:rPr>
                <w:rFonts w:ascii="Calibri" w:hAnsi="Calibri" w:eastAsia="Noto Sans S Chinese Regular" w:cs="Calibri"/>
                <w:b/>
                <w:color w:val="10151E"/>
                <w:sz w:val="18"/>
              </w:rPr>
              <w:t>2026-07-13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Regular" w:cs="Calibri"/>
                <w:b/>
                <w:color w:val="687386"/>
                <w:sz w:val="15"/>
              </w:rPr>
              <w:t>STACK</w:t>
              <w:br/>
            </w:r>
            <w:r>
              <w:rPr>
                <w:rFonts w:ascii="Calibri" w:hAnsi="Calibri" w:eastAsia="Noto Sans S Chinese Regular" w:cs="Calibri"/>
                <w:b/>
                <w:color w:val="10151E"/>
                <w:sz w:val="18"/>
              </w:rPr>
              <w:t>Python 3.14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Regular" w:cs="Calibri"/>
                <w:b/>
                <w:color w:val="687386"/>
                <w:sz w:val="15"/>
              </w:rPr>
              <w:t>SCOPE</w:t>
              <w:br/>
            </w:r>
            <w:r>
              <w:rPr>
                <w:rFonts w:ascii="Calibri" w:hAnsi="Calibri" w:eastAsia="Noto Sans S Chinese Regular" w:cs="Calibri"/>
                <w:b/>
                <w:color w:val="10151E"/>
                <w:sz w:val="18"/>
              </w:rPr>
              <w:t>第二功能</w:t>
            </w:r>
          </w:p>
        </w:tc>
      </w:tr>
    </w:tbl>
    <w:p>
      <w:pPr>
        <w:spacing w:before="640" w:after="160"/>
      </w:pPr>
      <w:r>
        <w:rPr>
          <w:rFonts w:ascii="Calibri" w:hAnsi="Calibri" w:eastAsia="Noto Sans S Chinese Regular" w:cs="Calibri"/>
          <w:b/>
          <w:color w:val="687386"/>
          <w:sz w:val="20"/>
        </w:rPr>
        <w:t>当前建议</w:t>
      </w:r>
    </w:p>
    <w:p>
      <w:pPr>
        <w:spacing w:after="320"/>
      </w:pPr>
      <w:r>
        <w:rPr>
          <w:rFonts w:ascii="Calibri" w:hAnsi="Calibri" w:eastAsia="Noto Sans S Chinese Regular" w:cs="Calibri"/>
          <w:b/>
          <w:color w:val="0B2545"/>
          <w:sz w:val="24"/>
        </w:rPr>
        <w:t>导航名称保留“原子”，页面名称采用“数据准备工作台”；首期严格限定静态 DAG、HTTP/SaaS Connector、非生产环境与每用例隔离数据。</w:t>
      </w:r>
    </w:p>
    <w:p>
      <w:pPr>
        <w:spacing w:before="360"/>
      </w:pPr>
      <w:r>
        <w:rPr>
          <w:rFonts w:ascii="Calibri" w:hAnsi="Calibri" w:eastAsia="Noto Sans S Chinese Regular" w:cs="Calibri"/>
          <w:color w:val="687386"/>
          <w:sz w:val="19"/>
        </w:rPr>
        <w:t>目标读者  /  产品、架构、测试平台、SaaS 接入与安全负责人</w:t>
      </w:r>
    </w:p>
    <w:p>
      <w:r>
        <w:br w:type="page"/>
      </w:r>
    </w:p>
    <w:p>
      <w:pPr>
        <w:pStyle w:val="Kicker"/>
        <w:keepNext/>
      </w:pPr>
      <w:r>
        <w:t>00 / ALIGNMENT SNAPSHOT</w:t>
      </w:r>
    </w:p>
    <w:p>
      <w:pPr>
        <w:pStyle w:val="Heading1"/>
      </w:pPr>
      <w:r>
        <w:t>先确认什么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这是一份设计对齐稿。前两页的决策确认后，再进入页面原型和接口实现。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76500"/>
            <wp:docPr id="1" name="Picture 1" descr="图 1｜第二功能的资产、执行与清理闭环" title="图 1｜第二功能的资产、执行与清理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1｜第二功能的资产、执行与清理闭环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核心判断  </w:t>
      </w:r>
      <w:r>
        <w:rPr>
          <w:rFonts w:ascii="Calibri" w:hAnsi="Calibri" w:eastAsia="Noto Sans S Chinese Regular" w:cs="Calibri"/>
          <w:color w:val="0B2545"/>
        </w:rPr>
        <w:t>原子组件是业务能力资产；数据蓝图是版本化 DAG；Fixture Run 是一次真实执行；Fixture Manifest 是浏览器 Agent 唯一可见的数据接口。</w:t>
      </w:r>
    </w:p>
    <w:p>
      <w:r>
        <w:br w:type="page"/>
      </w:r>
    </w:p>
    <w:p>
      <w:pPr>
        <w:pStyle w:val="Kicker"/>
        <w:keepNext/>
      </w:pPr>
      <w:r>
        <w:t>01 / DECISIONS</w:t>
      </w:r>
    </w:p>
    <w:p>
      <w:pPr>
        <w:pStyle w:val="Heading1"/>
      </w:pPr>
      <w:r>
        <w:t>12 个需要共同拍板的边界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表中的“建议默认值”是本稿后续设计的前提；任何一项变化都会影响模型、页面或执行协议。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3180"/>
        <w:gridCol w:w="2380"/>
        <w:gridCol w:w="3280"/>
      </w:tblGrid>
      <w:tr>
        <w:trPr>
          <w:tblHeader w:val="true"/>
          <w:cantSplit/>
        </w:trPr>
        <w:tc>
          <w:tcPr>
            <w:tcW w:type="dxa" w:w="52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#</w:t>
            </w:r>
          </w:p>
        </w:tc>
        <w:tc>
          <w:tcPr>
            <w:tcW w:type="dxa" w:w="318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待确认决策</w:t>
            </w:r>
          </w:p>
        </w:tc>
        <w:tc>
          <w:tcPr>
            <w:tcW w:type="dxa" w:w="238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建议默认值</w:t>
            </w:r>
          </w:p>
        </w:tc>
        <w:tc>
          <w:tcPr>
            <w:tcW w:type="dxa" w:w="328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影响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1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是否接受“契约原子性”，不承诺外部 SaaS 事务原子性？</w:t>
            </w:r>
          </w:p>
        </w:tc>
        <w:tc>
          <w:tcPr>
            <w:tcW w:type="dxa" w:w="2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接受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决定幂等、对账与清理模型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2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首期是否只允许测试/预发布环境？</w:t>
            </w:r>
          </w:p>
        </w:tc>
        <w:tc>
          <w:tcPr>
            <w:tcW w:type="dxa" w:w="2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是，生产硬拒绝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决定安全与 Connector 安装策略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3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创建类原子发布时是否必须具备清理契约？</w:t>
            </w:r>
          </w:p>
        </w:tc>
        <w:tc>
          <w:tcPr>
            <w:tcW w:type="dxa" w:w="2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必须；例外需审批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决定数据泄漏风险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4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每个用例是否默认创建隔离数据？</w:t>
            </w:r>
          </w:p>
        </w:tc>
        <w:tc>
          <w:tcPr>
            <w:tcW w:type="dxa" w:w="2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决定并发与可重复性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5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用例是否绑定精确蓝图版本？</w:t>
            </w:r>
          </w:p>
        </w:tc>
        <w:tc>
          <w:tcPr>
            <w:tcW w:type="dxa" w:w="2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是，不使用 latest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决定历史结果可重放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6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首期是否只支持静态 DAG？</w:t>
            </w:r>
          </w:p>
        </w:tc>
        <w:tc>
          <w:tcPr>
            <w:tcW w:type="dxa" w:w="2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暂不支持循环与动态 fan-out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7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原子执行是否只能选择 Connector Operation？</w:t>
            </w:r>
          </w:p>
        </w:tc>
        <w:tc>
          <w:tcPr>
            <w:tcW w:type="dxa" w:w="2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禁止任意 URL / Header / Script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8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失败时是否默认清理已创建数据？</w:t>
            </w:r>
          </w:p>
        </w:tc>
        <w:tc>
          <w:tcPr>
            <w:tcW w:type="dxa" w:w="2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是，ALWAYS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调试保留需权限与 TTL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9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测试重试是否重新初始化数据？</w:t>
            </w:r>
          </w:p>
        </w:tc>
        <w:tc>
          <w:tcPr>
            <w:tcW w:type="dxa" w:w="2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默认重新创建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避免复用脏现场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10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是否只获得显式 exports？</w:t>
            </w:r>
          </w:p>
        </w:tc>
        <w:tc>
          <w:tcPr>
            <w:tcW w:type="dxa" w:w="2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减少凭证与敏感数据暴露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11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清理失败是否影响任务终态？</w:t>
            </w:r>
          </w:p>
        </w:tc>
        <w:tc>
          <w:tcPr>
            <w:tcW w:type="dxa" w:w="2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标记“完成但有泄漏”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不能计为完全成功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12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首批闭环原子是什么？</w:t>
            </w:r>
          </w:p>
        </w:tc>
        <w:tc>
          <w:tcPr>
            <w:tcW w:type="dxa" w:w="23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客户/来访单 CRUD + 查询</w:t>
            </w:r>
          </w:p>
        </w:tc>
        <w:tc>
          <w:tcPr>
            <w:tcW w:type="dxa" w:w="32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先跑通创建、依赖、验证、回收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02 / PRODUCT POSITIONING</w:t>
      </w:r>
    </w:p>
    <w:p>
      <w:pPr>
        <w:pStyle w:val="Heading1"/>
      </w:pPr>
      <w:r>
        <w:t>产品定位与边界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正式定义：面向测试执行的测试资源供应控制面，通过已发布、版本化、可审计的原子组件，按 DAG 创建、关联、验证并回收测试数据。</w:t>
      </w:r>
    </w:p>
    <w:p>
      <w:pPr>
        <w:pStyle w:val="Heading2"/>
      </w:pPr>
      <w:r>
        <w:t>2.1 四个核心对象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80"/>
        <w:gridCol w:w="3180"/>
        <w:gridCol w:w="4500"/>
      </w:tblGrid>
      <w:tr>
        <w:trPr>
          <w:tblHeader w:val="true"/>
          <w:cantSplit/>
        </w:trPr>
        <w:tc>
          <w:tcPr>
            <w:tcW w:type="dxa" w:w="16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31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用户理解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运行时职责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原子 Atom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一个可复用业务动作</w:t>
            </w:r>
          </w:p>
        </w:tc>
        <w:tc>
          <w:tcPr>
            <w:tcW w:type="dxa" w:w="4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输入/输出、身份、幂等、验证、清理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数据蓝图 Blueprint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一组可复用的数据准备关系</w:t>
            </w:r>
          </w:p>
        </w:tc>
        <w:tc>
          <w:tcPr>
            <w:tcW w:type="dxa" w:w="4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DAG、变量映射、角色槽位、对外输出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用例绑定 Binding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用例选择哪版蓝图与参数</w:t>
            </w:r>
          </w:p>
        </w:tc>
        <w:tc>
          <w:tcPr>
            <w:tcW w:type="dxa" w:w="4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固定精确版本、环境、数据生命周期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Fixture Run</w:t>
            </w:r>
          </w:p>
        </w:tc>
        <w:tc>
          <w:tcPr>
            <w:tcW w:type="dxa" w:w="31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一次真实的数据准备现场</w:t>
            </w:r>
          </w:p>
        </w:tc>
        <w:tc>
          <w:tcPr>
            <w:tcW w:type="dxa" w:w="4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节点状态、资源台账、错误、重试与清理</w:t>
            </w:r>
          </w:p>
        </w:tc>
      </w:tr>
    </w:tbl>
    <w:p>
      <w:pPr>
        <w:pStyle w:val="SmallText"/>
      </w:pPr>
    </w:p>
    <w:p>
      <w:pPr>
        <w:pStyle w:val="Heading2"/>
      </w:pPr>
      <w:r>
        <w:t>2.2 本期要做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原子定义、验证、发布、弃用与版本管理；HTTP/SaaS Connector Operation 是默认执行方式。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可视化 DAG 编排、强类型端口、上游输出映射、角色槽位、静态检查与真实试运行。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执行计划编译、节点并行、超时/重试/取消、结果对账、资源台账与逆序清理。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用例绑定与 Fixture Manifest；运行过程、节点错误、资源与清理状态可视化。</w:t>
      </w:r>
    </w:p>
    <w:p>
      <w:pPr>
        <w:pStyle w:val="Heading2"/>
      </w:pPr>
      <w:r>
        <w:t>2.3 本期明确不做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通用 ETL、任意 JavaScript/SQL/Shell、任意 HTTP 调试器、跨 SaaS ACID 事务。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浏览器步骤与断言管理；这些属于用例/Agent 执行模块。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循环、复杂条件、审批流、动态节点、大规模 fan-out、跨用例共享可变数据。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生产数据迁移、真实客户数据、通过变量传输密码/Token/Cookie。</w:t>
      </w:r>
    </w:p>
    <w:p>
      <w:r>
        <w:br w:type="page"/>
      </w:r>
    </w:p>
    <w:p>
      <w:pPr>
        <w:pStyle w:val="Kicker"/>
        <w:keepNext/>
      </w:pPr>
      <w:r>
        <w:t>03 / DESIGN PRINCIPLES</w:t>
      </w:r>
    </w:p>
    <w:p>
      <w:pPr>
        <w:pStyle w:val="Heading1"/>
      </w:pPr>
      <w:r>
        <w:t>不可破坏的设计约束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原子是最小可调度、可重试、可观测、可清理的能力单元，不是外部事务。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已发布原子和蓝图不可修改；每次执行冻结精确组件、适配器、Schema 与策略摘要。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不允许 Agent、用户或文档在运行时注入脚本、SQL、URL、Header 或表达式。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HTTP 2xx 不是成功；必须通过输出 Schema、读后验证与业务后置条件。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不确定结果必须进入 OUTCOME_UNCERTAIN，先对账，禁止盲目重试。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创建意图与幂等声明先落库；每项外部资源都必须进入资源台账。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自动清理只删除 Atlas 本次 CREATED 的资源，不删除借用、发现或共享资源。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凭证不进入蓝图参数、Agent 上下文、日志、Trace 或资源台账。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生产环境在 API、Worker 与凭证三个层面硬拒绝。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数据准备状态、页面测试结果与清理状态分别建模，避免“成功”含义混乱。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命名建议  </w:t>
      </w:r>
      <w:r>
        <w:rPr>
          <w:rFonts w:ascii="Calibri" w:hAnsi="Calibri" w:eastAsia="Noto Sans S Chinese Regular" w:cs="Calibri"/>
          <w:color w:val="0B2545"/>
        </w:rPr>
        <w:t>导航保留“原子”，工作页命名为“数据准备工作台”；技术域名使用 Fixture Studio / Fixture Control Plane；编译产物称为 Fixture Blueprint 与 Compiled Plan。</w:t>
      </w:r>
    </w:p>
    <w:p>
      <w:r>
        <w:br w:type="page"/>
      </w:r>
    </w:p>
    <w:p>
      <w:pPr>
        <w:pStyle w:val="Kicker"/>
        <w:keepNext/>
      </w:pPr>
      <w:r>
        <w:t>04 / GOLDEN PATH</w:t>
      </w:r>
    </w:p>
    <w:p>
      <w:pPr>
        <w:pStyle w:val="Heading1"/>
      </w:pPr>
      <w:r>
        <w:t>用一个真实场景统一产品与技术语言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目标：为“客户列表搜索、角色过滤、客户与来访单关联”准备两组隔离数据，再交给浏览器 Agent 做页面验证。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 descr="图 2｜创建客户、创建来访单与页面测试的职责分界" title="图 2｜创建客户、创建来访单与页面测试的职责分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_golden_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2｜创建客户、创建来访单与页面测试的职责分界</w:t>
      </w:r>
    </w:p>
    <w:p>
      <w:pPr>
        <w:pStyle w:val="Heading2"/>
      </w:pPr>
      <w:r>
        <w:t>4.1 蓝图显式输出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fixture.customerA.customerId</w:t>
        <w:br/>
        <w:t>fixture.customerA.trackingId</w:t>
        <w:br/>
        <w:t>fixture.customerB.customerId</w:t>
        <w:br/>
        <w:t>fixture.visitA.visitId</w:t>
      </w:r>
    </w:p>
    <w:p>
      <w:r>
        <w:rPr>
          <w:rFonts w:ascii="Calibri" w:hAnsi="Calibri" w:eastAsia="Noto Sans S Chinese Regular" w:cs="Calibri"/>
        </w:rPr>
        <w:t>Agent 只能看到蓝图明确发布的字段，不知道接口地址、鉴权方式、完整 SaaS 响应或清理实现。</w:t>
      </w:r>
    </w:p>
    <w:p>
      <w:r>
        <w:br w:type="page"/>
      </w:r>
    </w:p>
    <w:p>
      <w:pPr>
        <w:pStyle w:val="Kicker"/>
        <w:keepNext/>
      </w:pPr>
      <w:r>
        <w:t>05 / USER JOURNEYS</w:t>
      </w:r>
    </w:p>
    <w:p>
      <w:pPr>
        <w:pStyle w:val="Heading1"/>
      </w:pPr>
      <w:r>
        <w:t>三类用户、三条主路径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100"/>
        <w:gridCol w:w="276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角色</w:t>
            </w:r>
          </w:p>
        </w:tc>
        <w:tc>
          <w:tcPr>
            <w:tcW w:type="dxa" w:w="5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主路径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完成标准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原子维护者</w:t>
            </w:r>
          </w:p>
        </w:tc>
        <w:tc>
          <w:tcPr>
            <w:tcW w:type="dxa" w:w="5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定义契约 → 选择 Connector Operation → 配置身份/幂等/验证/清理 → 样例验证 → 发布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原子版本可被发现、可试运行、可回收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测试设计者</w:t>
            </w:r>
          </w:p>
        </w:tc>
        <w:tc>
          <w:tcPr>
            <w:tcW w:type="dxa" w:w="5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创建蓝图 → 拖入原子 → 连接端口 → 配置角色/参数 → 静态检查 → 试运行 → 发布 → 绑定用例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蓝图通过发布门禁，输出可供 Agent 消费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任务执行者</w:t>
            </w:r>
          </w:p>
        </w:tc>
        <w:tc>
          <w:tcPr>
            <w:tcW w:type="dxa" w:w="5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启动 Task → 获取账号租约 → 执行蓝图 → 页面测试 → 释放数据 → 查看结果与泄漏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数据准备、测试与清理三种状态均可追溯</w:t>
            </w:r>
          </w:p>
        </w:tc>
      </w:tr>
    </w:tbl>
    <w:p>
      <w:pPr>
        <w:pStyle w:val="SmallText"/>
      </w:pPr>
    </w:p>
    <w:p>
      <w:pPr>
        <w:pStyle w:val="Heading2"/>
      </w:pPr>
      <w:r>
        <w:t>5.1 系统运行顺序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Test Task 解析用例绑定的精确蓝图版本和运行参数。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从“身份与测试账号”模块获取角色租约，例如 sales_owner 与 sales_manager。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编译或加载不可变 Compiled Plan，执行静态策略检查。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按 DAG 并行创建数据，写入资源台账，完成读后验证。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生成 Fixture Manifest 后才允许启动浏览器 Agent。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测试完成、失败或取消后，按资源依赖逆序清理并释放账号租约。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失败分类  </w:t>
      </w:r>
      <w:r>
        <w:rPr>
          <w:rFonts w:ascii="Calibri" w:hAnsi="Calibri" w:eastAsia="Noto Sans S Chinese Regular" w:cs="Calibri"/>
          <w:color w:val="0B2545"/>
        </w:rPr>
        <w:t>数据准备失败 = PREPARATION_FAILED；页面验证失败 = TEST_FAILED；资源回收失败 = CLEANUP_FAILED；基础设施问题 = INFRA_BLOCKED。四者不能互相覆盖。</w:t>
      </w:r>
    </w:p>
    <w:p>
      <w:r>
        <w:br w:type="page"/>
      </w:r>
    </w:p>
    <w:p>
      <w:pPr>
        <w:pStyle w:val="Kicker"/>
        <w:keepNext/>
      </w:pPr>
      <w:r>
        <w:t>06 / PRODUCT IA</w:t>
      </w:r>
    </w:p>
    <w:p>
      <w:pPr>
        <w:pStyle w:val="Heading1"/>
      </w:pPr>
      <w:r>
        <w:t>页面结构与创新交互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这里不采用传统 B 端“左表格、右表单”。核心工作发生在一个可以编排、试运行和回放的空间里。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080"/>
            <wp:docPr id="3" name="Picture 3" descr="图 3｜数据准备工作台的三栏画布与底部运行时间线" title="图 3｜数据准备工作台的三栏画布与底部运行时间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_worksp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3｜数据准备工作台的三栏画布与底部运行时间线</w:t>
      </w:r>
    </w:p>
    <w:p>
      <w:r>
        <w:rPr>
          <w:rFonts w:ascii="Calibri" w:hAnsi="Calibri" w:eastAsia="Noto Sans S Chinese Regular" w:cs="Calibri"/>
        </w:rPr>
        <w:t>工作台保持 Atlas 当前的悬浮导航与沉浸式空间感：左侧是原子仓库，中间是关系图，右侧是选中节点的契约检查器；底部只在校验或运行时抬起。</w:t>
      </w:r>
    </w:p>
    <w:p>
      <w:r>
        <w:br w:type="page"/>
      </w:r>
    </w:p>
    <w:p>
      <w:pPr>
        <w:pStyle w:val="Kicker"/>
        <w:keepNext/>
      </w:pPr>
      <w:r>
        <w:t>07 / PAGE INVENTORY</w:t>
      </w:r>
    </w:p>
    <w:p>
      <w:pPr>
        <w:pStyle w:val="Heading1"/>
      </w:pPr>
      <w:r>
        <w:t>首期页面清单与关键动作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300"/>
        <w:gridCol w:w="3310"/>
      </w:tblGrid>
      <w:tr>
        <w:trPr>
          <w:tblHeader w:val="true"/>
          <w:cantSplit/>
        </w:trPr>
        <w:tc>
          <w:tcPr>
            <w:tcW w:type="dxa" w:w="17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页面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必须呈现的信息</w:t>
            </w:r>
          </w:p>
        </w:tc>
        <w:tc>
          <w:tcPr>
            <w:tcW w:type="dxa" w:w="33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核心动作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原子资产库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业务域、版本、健康度、角色、被引用蓝图、清理能力</w:t>
            </w:r>
          </w:p>
        </w:tc>
        <w:tc>
          <w:tcPr>
            <w:tcW w:type="dxa" w:w="3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搜索、预览、新建、复制 Draft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原子详情/编辑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契约、执行、身份、可靠性、清理、样例</w:t>
            </w:r>
          </w:p>
        </w:tc>
        <w:tc>
          <w:tcPr>
            <w:tcW w:type="dxa" w:w="3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校验、试调用、发布、弃用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数据准备工作台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节点、类型化边、问题、角色、环境、版本</w:t>
            </w:r>
          </w:p>
        </w:tc>
        <w:tc>
          <w:tcPr>
            <w:tcW w:type="dxa" w:w="3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连线、配置、静态检查、试运行、发布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试运行抽屉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节点时间线、脱敏请求/响应、资源、重试、清理</w:t>
            </w:r>
          </w:p>
        </w:tc>
        <w:tc>
          <w:tcPr>
            <w:tcW w:type="dxa" w:w="3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运行全部、运行到节点、手动清理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用例绑定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蓝图精确版本、输入、角色槽位、输出预览、生命周期</w:t>
            </w:r>
          </w:p>
        </w:tc>
        <w:tc>
          <w:tcPr>
            <w:tcW w:type="dxa" w:w="3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绑定、预览 Manifest、更新版本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Fixture Run 结果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图回放、节点快照、资源台账、清理状态、错误分类</w:t>
            </w:r>
          </w:p>
        </w:tc>
        <w:tc>
          <w:tcPr>
            <w:tcW w:type="dxa" w:w="3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重试清理、保留至 TTL、导出证据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泄漏中心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CLEANUP_PENDING、年龄、环境、资源拥有关系、责任人</w:t>
            </w:r>
          </w:p>
        </w:tc>
        <w:tc>
          <w:tcPr>
            <w:tcW w:type="dxa" w:w="3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批量重试、标记保留、人工处置</w:t>
            </w:r>
          </w:p>
        </w:tc>
      </w:tr>
    </w:tbl>
    <w:p>
      <w:pPr>
        <w:pStyle w:val="SmallText"/>
      </w:pPr>
    </w:p>
    <w:p>
      <w:pPr>
        <w:pStyle w:val="Heading2"/>
      </w:pPr>
      <w:r>
        <w:t>7.1 画布反馈语义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实线表示数据依赖；虚线表示控制依赖；红色连线表示缺失/类型错误；运行中沿边显示流动光点。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端口不仅校验 JSON 类型，还校验 semanticType，例如 crm.customer.ref 不能接到 crm.visit.id。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发布后版本只读；编辑动作自动创建新 Draft，不在原版本上覆盖。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“试运行”默认使用真实测试环境并自动清理；若选择失败保留，必须显示到期时间与风险。</w:t>
      </w:r>
    </w:p>
    <w:p>
      <w:r>
        <w:br w:type="page"/>
      </w:r>
    </w:p>
    <w:p>
      <w:pPr>
        <w:pStyle w:val="Kicker"/>
        <w:keepNext/>
      </w:pPr>
      <w:r>
        <w:t>08 / DOMAIN MODEL</w:t>
      </w:r>
    </w:p>
    <w:p>
      <w:pPr>
        <w:pStyle w:val="Heading1"/>
      </w:pPr>
      <w:r>
        <w:t>领域对象与不可变快照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20"/>
        <w:gridCol w:w="384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对象</w:t>
            </w:r>
          </w:p>
        </w:tc>
        <w:tc>
          <w:tcPr>
            <w:tcW w:type="dxa" w:w="33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职责</w:t>
            </w:r>
          </w:p>
        </w:tc>
        <w:tc>
          <w:tcPr>
            <w:tcW w:type="dxa" w:w="38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关键不变量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DataAtomDefinition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原子的稳定身份，例如 crm.customer.create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Key 不随版本变化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DataAtomVersion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一版不可变契约和实现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PUBLISHED 后冻结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DataRecipeVersion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节点、边、角色、参数和 exports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发布时固定所有引用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CompiledPlan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可执行快照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保存计划摘要和精确适配器版本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DataSetupRun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一次数据准备实例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独立于 Test Result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DataNodeRun / DataNodeAttempt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逻辑节点与实际调用尝试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DataNodeAttempt 不改变逻辑幂等键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ResourceRecord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真实 SaaS 资源台账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记录所有权与父子依赖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ConnectorInstallation</w:t>
            </w:r>
          </w:p>
        </w:tc>
        <w:tc>
          <w:tcPr>
            <w:tcW w:type="dxa" w:w="3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项目/环境中的 SaaS 接入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绑定租户、环境、能力与凭证域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DataAtomDefinition 1 ── N DataAtomVersion</w:t>
        <w:br/>
        <w:t>DataRecipeVersion  1 ── N RecipeNode ── 1 DataAtomVersion</w:t>
        <w:br/>
        <w:t>DataSetupRun       1 ── N DataNodeRun ── N DataNodeAttempt</w:t>
        <w:br/>
        <w:t>DataNodeRun        1 ── N ResourceRecord</w:t>
        <w:br/>
        <w:t>ResourceRecord     N ── N ResourceRecord  // cleanup dependency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关键边界  </w:t>
      </w:r>
      <w:r>
        <w:rPr>
          <w:rFonts w:ascii="Calibri" w:hAnsi="Calibri" w:eastAsia="Noto Sans S Chinese Regular" w:cs="Calibri"/>
          <w:color w:val="0B2545"/>
        </w:rPr>
        <w:t>账号模块回答“谁可以操作”；Fixture 模块回答“创建了什么、资源之间如何关联、什么时候清理”。两者通过 accountLeaseId 与 actor slot 对接，不共享密码。</w:t>
      </w:r>
    </w:p>
    <w:p>
      <w:r>
        <w:br w:type="page"/>
      </w:r>
    </w:p>
    <w:p>
      <w:pPr>
        <w:pStyle w:val="Kicker"/>
        <w:keepNext/>
      </w:pPr>
      <w:r>
        <w:t>09 / ATOM CONTRACT</w:t>
      </w:r>
    </w:p>
    <w:p>
      <w:pPr>
        <w:pStyle w:val="Heading1"/>
      </w:pPr>
      <w:r>
        <w:t>一个原子到底要声明什么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740"/>
        <w:gridCol w:w="3020"/>
      </w:tblGrid>
      <w:tr>
        <w:trPr>
          <w:tblHeader w:val="true"/>
          <w:cantSplit/>
        </w:trPr>
        <w:tc>
          <w:tcPr>
            <w:tcW w:type="dxa" w:w="1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契约面</w:t>
            </w:r>
          </w:p>
        </w:tc>
        <w:tc>
          <w:tcPr>
            <w:tcW w:type="dxa" w:w="47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必填内容</w:t>
            </w:r>
          </w:p>
        </w:tc>
        <w:tc>
          <w:tcPr>
            <w:tcW w:type="dxa" w:w="30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目的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身份与版本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atomKey、SemVer、状态、contentDigest</w:t>
            </w:r>
          </w:p>
        </w:tc>
        <w:tc>
          <w:tcPr>
            <w:tcW w:type="dxa" w:w="3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稳定引用与供应链审计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类型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input/output JSON Schema、端口、semanticType</w:t>
            </w:r>
          </w:p>
        </w:tc>
        <w:tc>
          <w:tcPr>
            <w:tcW w:type="dxa" w:w="3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设计时检查与运行时验证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执行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Connector Operation、所需能力、超时</w:t>
            </w:r>
          </w:p>
        </w:tc>
        <w:tc>
          <w:tcPr>
            <w:tcW w:type="dxa" w:w="3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阻止任意网络调用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副作用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READ/CREATE/UPDATE/DELETE/WAIT</w:t>
            </w:r>
          </w:p>
        </w:tc>
        <w:tc>
          <w:tcPr>
            <w:tcW w:type="dxa" w:w="3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决定发布门禁与权限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可靠性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幂等、重试、限流、读后验证、reconcile</w:t>
            </w:r>
          </w:p>
        </w:tc>
        <w:tc>
          <w:tcPr>
            <w:tcW w:type="dxa" w:w="3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处理重复和不确定结果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资源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produces、ownership、父子关系</w:t>
            </w:r>
          </w:p>
        </w:tc>
        <w:tc>
          <w:tcPr>
            <w:tcW w:type="dxa" w:w="3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形成资源台账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清理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cleanup Operation、策略、TTL、验证</w:t>
            </w:r>
          </w:p>
        </w:tc>
        <w:tc>
          <w:tcPr>
            <w:tcW w:type="dxa" w:w="3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可回收且可证明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数据安全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classification、脱敏与允许环境</w:t>
            </w:r>
          </w:p>
        </w:tc>
        <w:tc>
          <w:tcPr>
            <w:tcW w:type="dxa" w:w="3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控制敏感数据流</w:t>
            </w:r>
          </w:p>
        </w:tc>
      </w:tr>
    </w:tbl>
    <w:p>
      <w:pPr>
        <w:pStyle w:val="SmallText"/>
      </w:pPr>
    </w:p>
    <w:p>
      <w:pPr>
        <w:pStyle w:val="Heading2"/>
      </w:pPr>
      <w:r>
        <w:t>9.1 首期两种实现方式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CONNECTOR_OPERATION：绑定已审核 SaaS Connector 的 Operation；默认方式，允许低代码配置。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CODE_PLUGIN：签名 Python wheel 或 OCI Artifact，只运行在隔离 Worker；用于复杂协议，不允许页面内输入任意代码。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发布门禁  </w:t>
      </w:r>
      <w:r>
        <w:rPr>
          <w:rFonts w:ascii="Calibri" w:hAnsi="Calibri" w:eastAsia="Noto Sans S Chinese Regular" w:cs="Calibri"/>
          <w:color w:val="0B2545"/>
        </w:rPr>
        <w:t>所有 CREATE 原子默认必须具备清理和 reconcile 能力；如业务确实无法删除，只能配置软删除/归档/测试分组或走显式保留例外。</w:t>
      </w:r>
    </w:p>
    <w:p>
      <w:r>
        <w:br w:type="page"/>
      </w:r>
    </w:p>
    <w:p>
      <w:pPr>
        <w:pStyle w:val="Kicker"/>
        <w:keepNext/>
      </w:pPr>
      <w:r>
        <w:t>10 / PYTHON CONTRACT</w:t>
      </w:r>
    </w:p>
    <w:p>
      <w:pPr>
        <w:pStyle w:val="Heading1"/>
      </w:pPr>
      <w:r>
        <w:t>建议的 Python 契约骨架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class Effect(StrEnum):</w:t>
        <w:br/>
        <w:t xml:space="preserve">    READ = "read"</w:t>
        <w:br/>
        <w:t xml:space="preserve">    CREATE = "create"</w:t>
        <w:br/>
        <w:t xml:space="preserve">    UPDATE = "update"</w:t>
        <w:br/>
        <w:t xml:space="preserve">    DELETE = "delete"</w:t>
        <w:br/>
        <w:t xml:space="preserve">    WAIT = "wait"</w:t>
        <w:br/>
        <w:br/>
        <w:t>class HandlerRef(BaseModel):</w:t>
        <w:br/>
        <w:t xml:space="preserve">    module: str</w:t>
        <w:br/>
        <w:t xml:space="preserve">    callable: str</w:t>
        <w:br/>
        <w:t xml:space="preserve">    artifact_digest: str</w:t>
        <w:br/>
        <w:br/>
        <w:t>class DataAtomVersion(BaseModel):</w:t>
        <w:br/>
        <w:t xml:space="preserve">    atom_key: str</w:t>
        <w:br/>
        <w:t xml:space="preserve">    version: str</w:t>
        <w:br/>
        <w:t xml:space="preserve">    input_schema: JsonSchema202012</w:t>
        <w:br/>
        <w:t xml:space="preserve">    output_schema: JsonSchema202012</w:t>
        <w:br/>
        <w:t xml:space="preserve">    ports: tuple[PortDefinition, ...]</w:t>
        <w:br/>
        <w:t xml:space="preserve">    effect: Effect</w:t>
        <w:br/>
        <w:t xml:space="preserve">    required_capabilities: tuple[str, ...]</w:t>
        <w:br/>
        <w:t xml:space="preserve">    retry_policy: RetryPolicy</w:t>
        <w:br/>
        <w:t xml:space="preserve">    idempotency_policy: IdempotencyPolicy</w:t>
        <w:br/>
        <w:t xml:space="preserve">    postconditions: tuple[Postcondition, ...]</w:t>
        <w:br/>
        <w:t xml:space="preserve">    resource_policy: ResourcePolicy | None = None</w:t>
        <w:br/>
        <w:t xml:space="preserve">    cleanup_policy: CleanupContract | None = None</w:t>
        <w:br/>
        <w:t xml:space="preserve">    reconcile_policy: ReconcileContract | None = None</w:t>
        <w:br/>
        <w:t xml:space="preserve">    handler: HandlerRef</w:t>
      </w:r>
    </w:p>
    <w:p>
      <w:pPr>
        <w:pStyle w:val="Heading2"/>
      </w:pPr>
      <w:r>
        <w:t>10.1 组件 SDK 只暴露受控能力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class FixtureContext(Protocol):</w:t>
        <w:br/>
        <w:t xml:space="preserve">    connector: ApprovedConnectorClient</w:t>
        <w:br/>
        <w:t xml:space="preserve">    resources: ResourceLedgerClient</w:t>
        <w:br/>
        <w:t xml:space="preserve">    identity: ActorLeaseView</w:t>
        <w:br/>
        <w:t xml:space="preserve">    artifacts: EncryptedArtifactClient</w:t>
        <w:br/>
        <w:t xml:space="preserve">    idempotency_key: str</w:t>
        <w:br/>
        <w:t xml:space="preserve">    execution: ReadonlyExecutionContext</w:t>
      </w:r>
    </w:p>
    <w:p>
      <w:r>
        <w:rPr>
          <w:rFonts w:ascii="Calibri" w:hAnsi="Calibri" w:eastAsia="Noto Sans S Chinese Regular" w:cs="Calibri"/>
        </w:rPr>
        <w:t>SDK 不提供 getSecret()、rawFetch()、eval()、SQL Client 或原始 Cookie。复杂能力通过新的 Connector Operation 或审核过的 Code Plugin 扩展。</w:t>
      </w:r>
    </w:p>
    <w:p>
      <w:r>
        <w:br w:type="page"/>
      </w:r>
    </w:p>
    <w:p>
      <w:pPr>
        <w:pStyle w:val="Kicker"/>
        <w:keepNext/>
      </w:pPr>
      <w:r>
        <w:t>11 / BLUEPRINT GRAPH</w:t>
      </w:r>
    </w:p>
    <w:p>
      <w:pPr>
        <w:pStyle w:val="Heading1"/>
      </w:pPr>
      <w:r>
        <w:t>数据蓝图、端口与变量映射</w:t>
      </w:r>
    </w:p>
    <w:p>
      <w:pPr>
        <w:pStyle w:val="Heading2"/>
      </w:pPr>
      <w:r>
        <w:t>11.1 首期允许的变量来源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Binding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示例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LITERAL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固定区域 = CN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必须通过目标端口 Schema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RUN_INPUT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/customerName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使用 JSON Pointer，不执行表达式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NODE_OUTPUT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create_customer.customer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上游成功后才可见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EXECUTION_CONTEXT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executionId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仅白名单系统字段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SECRET_REF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connector.installation.secret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只允许流向 SECRET_REF 端口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PURE_TRANSFORM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atlas.slugify@1.0.0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命名、版本化、纯函数、受审核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{</w:t>
        <w:br/>
        <w:t xml:space="preserve">  "source": { "nodeId": "create_customer", "output": "customer" },</w:t>
        <w:br/>
        <w:t xml:space="preserve">  "target": { "nodeId": "create_visit", "input": "customer" }</w:t>
        <w:br/>
        <w:t>}</w:t>
      </w:r>
    </w:p>
    <w:p>
      <w:r>
        <w:rPr>
          <w:rFonts w:ascii="Calibri" w:hAnsi="Calibri" w:eastAsia="Noto Sans S Chinese Regular" w:cs="Calibri"/>
        </w:rPr>
        <w:t>不建议使用 ${nodes.create_customer.output.customerId} 这类字符串模板；结构化引用可被编译器验证、重命名和追踪。</w:t>
      </w:r>
    </w:p>
    <w:p>
      <w:pPr>
        <w:pStyle w:val="Heading2"/>
      </w:pPr>
      <w:r>
        <w:t>11.2 资源句柄优先于裸字符串 ID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class ResourceRef(BaseModel, Generic[ResourceType]):</w:t>
        <w:br/>
        <w:t xml:space="preserve">    resource_type: ResourceType</w:t>
        <w:br/>
        <w:t xml:space="preserve">    ledger_id: str</w:t>
        <w:br/>
        <w:t xml:space="preserve">    environment_id: str</w:t>
        <w:br/>
        <w:t xml:space="preserve">    connector_id: str</w:t>
        <w:br/>
        <w:t xml:space="preserve">    ownership: Literal["created", "adopted", "leased"]</w:t>
        <w:br/>
        <w:t xml:space="preserve">    opaque_ref: str</w:t>
      </w:r>
    </w:p>
    <w:p>
      <w:r>
        <w:br w:type="page"/>
      </w:r>
    </w:p>
    <w:p>
      <w:pPr>
        <w:pStyle w:val="Kicker"/>
        <w:keepNext/>
      </w:pPr>
      <w:r>
        <w:t>12 / COMPILER</w:t>
      </w:r>
    </w:p>
    <w:p>
      <w:pPr>
        <w:pStyle w:val="Heading1"/>
      </w:pPr>
      <w:r>
        <w:t>发布前先编译，而不是边运行边猜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解析并冻结精确原子、Connector Implementation、Transform、Schema 与策略版本。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校验节点 Key、必填端口、JSON Schema、semanticType 和 Secret 数据流。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从结构化引用推导依赖边，检查环，生成拓扑层与并行计划。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校验环境是否安装所需 Connector、能力是否可用、角色槽位是否可满足。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检查所有 CREATE 节点的清理、reconcile、TTL 与资源拥有关系。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估算配额、运行时间和 fan-out，执行环境与权限策略。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生成不可变 Compiled Plan、planDigest 与逆序清理计划。</w:t>
      </w:r>
    </w:p>
    <w:p>
      <w:pPr>
        <w:pStyle w:val="Heading2"/>
      </w:pPr>
      <w:r>
        <w:t>12.1 发布门禁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200"/>
        <w:gridCol w:w="3410"/>
      </w:tblGrid>
      <w:tr>
        <w:trPr>
          <w:tblHeader w:val="true"/>
          <w:cantSplit/>
        </w:trPr>
        <w:tc>
          <w:tcPr>
            <w:tcW w:type="dxa" w:w="17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门禁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失败示例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静态检查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无环、输入完整、类型/语义兼容</w:t>
            </w:r>
          </w:p>
        </w:tc>
        <w:tc>
          <w:tcPr>
            <w:tcW w:type="dxa" w:w="34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GRAPH_CYCLE_DETECTED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能力检查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环境和 Connector 提供全部能力</w:t>
            </w:r>
          </w:p>
        </w:tc>
        <w:tc>
          <w:tcPr>
            <w:tcW w:type="dxa" w:w="34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CAPABILITY_UNAVAILABLE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真实试运行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至少一次数据准备成功</w:t>
            </w:r>
          </w:p>
        </w:tc>
        <w:tc>
          <w:tcPr>
            <w:tcW w:type="dxa" w:w="34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POSTCONDITION_FAILED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清理验证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试运行资源全部回收或显式保留</w:t>
            </w:r>
          </w:p>
        </w:tc>
        <w:tc>
          <w:tcPr>
            <w:tcW w:type="dxa" w:w="34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CLEANUP_CONTRACT_MISSING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版本检查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所有引用已发布且精确</w:t>
            </w:r>
          </w:p>
        </w:tc>
        <w:tc>
          <w:tcPr>
            <w:tcW w:type="dxa" w:w="34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ATOM_VERSION_NOT_FOUND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输出检查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exports 均命名、类型化、分级</w:t>
            </w:r>
          </w:p>
        </w:tc>
        <w:tc>
          <w:tcPr>
            <w:tcW w:type="dxa" w:w="34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FORBIDDEN_SECRET_FLOW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进入批量 Task 的条件  </w:t>
      </w:r>
      <w:r>
        <w:rPr>
          <w:rFonts w:ascii="Calibri" w:hAnsi="Calibri" w:eastAsia="Noto Sans S Chinese Regular" w:cs="Calibri"/>
          <w:color w:val="0B2545"/>
        </w:rPr>
        <w:t>只有已发布蓝图才能被批量任务使用；Draft 只允许在设计工作台试运行，防止运行中结构漂移。</w:t>
      </w:r>
    </w:p>
    <w:p>
      <w:r>
        <w:br w:type="page"/>
      </w:r>
    </w:p>
    <w:p>
      <w:pPr>
        <w:pStyle w:val="Kicker"/>
        <w:keepNext/>
      </w:pPr>
      <w:r>
        <w:t>13 / EXECUTION MODEL</w:t>
      </w:r>
    </w:p>
    <w:p>
      <w:pPr>
        <w:pStyle w:val="Heading1"/>
      </w:pPr>
      <w:r>
        <w:t>执行状态、验证与不确定结果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4" name="Picture 4" descr="图 4｜节点成功路径与不确定结果处置协议" title="图 4｜节点成功路径与不确定结果处置协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_run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4｜节点成功路径与不确定结果处置协议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Fixture: REQUESTED → RUNNING → READY → CLEANING → RELEASED</w:t>
        <w:br/>
        <w:t xml:space="preserve">                         ↘ FAILED / CANCELED      ↘ CLEANUP_FAILED</w:t>
        <w:br/>
        <w:br/>
        <w:t>Node:    PENDING → READY → RUNNING → VERIFYING → SUCCEEDED</w:t>
        <w:br/>
        <w:t xml:space="preserve">                              ↘ FAILED / OUTCOME_UNCERTAIN</w:t>
        <w:br/>
        <w:br/>
        <w:t>Cleanup: NOT_REQUIRED → PENDING → RUNNING → CLEANED / LEAKED</w:t>
      </w:r>
    </w:p>
    <w:p>
      <w:r>
        <w:br w:type="page"/>
      </w:r>
    </w:p>
    <w:p>
      <w:pPr>
        <w:pStyle w:val="Kicker"/>
        <w:keepNext/>
      </w:pPr>
      <w:r>
        <w:t>14 / IDEMPOTENCY</w:t>
      </w:r>
    </w:p>
    <w:p>
      <w:pPr>
        <w:pStyle w:val="Heading1"/>
      </w:pPr>
      <w:r>
        <w:t>幂等、重试与对账协议</w:t>
      </w:r>
    </w:p>
    <w:p>
      <w:r>
        <w:rPr>
          <w:rFonts w:ascii="Calibri" w:hAnsi="Calibri" w:eastAsia="Noto Sans S Chinese Regular" w:cs="Calibri"/>
        </w:rPr>
        <w:t>外部 SaaS 调用按“至少一次执行”设计。Atlas 的目标不是假装 exactly-once，而是通过稳定幂等键、结果对账和资源台账，把重复创建和未知结果降到可处置范围。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nodeKey = hash(environmentId, blueprintVersionId, executionId, nodeId)</w:t>
        <w:br/>
        <w:t>cleanupKey = `cleanup:${resourceLedgerId}:${cleanupGeneration}`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00"/>
        <w:gridCol w:w="2260"/>
      </w:tblGrid>
      <w:tr>
        <w:trPr>
          <w:tblHeader w:val="true"/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4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默认动作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是否自动重试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确认请求未发出</w:t>
            </w:r>
          </w:p>
        </w:tc>
        <w:tc>
          <w:tcPr>
            <w:tcW w:type="dxa" w:w="4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指数退避</w:t>
            </w:r>
          </w:p>
        </w:tc>
        <w:tc>
          <w:tcPr>
            <w:tcW w:type="dxa" w:w="2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429</w:t>
            </w:r>
          </w:p>
        </w:tc>
        <w:tc>
          <w:tcPr>
            <w:tcW w:type="dxa" w:w="4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遵循 Retry-After</w:t>
            </w:r>
          </w:p>
        </w:tc>
        <w:tc>
          <w:tcPr>
            <w:tcW w:type="dxa" w:w="2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5xx</w:t>
            </w:r>
          </w:p>
        </w:tc>
        <w:tc>
          <w:tcPr>
            <w:tcW w:type="dxa" w:w="4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预算内指数退避</w:t>
            </w:r>
          </w:p>
        </w:tc>
        <w:tc>
          <w:tcPr>
            <w:tcW w:type="dxa" w:w="2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401 / Token 过期</w:t>
            </w:r>
          </w:p>
        </w:tc>
        <w:tc>
          <w:tcPr>
            <w:tcW w:type="dxa" w:w="4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刷新一次认证</w:t>
            </w:r>
          </w:p>
        </w:tc>
        <w:tc>
          <w:tcPr>
            <w:tcW w:type="dxa" w:w="2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一次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输入/权限错误</w:t>
            </w:r>
          </w:p>
        </w:tc>
        <w:tc>
          <w:tcPr>
            <w:tcW w:type="dxa" w:w="4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直接失败</w:t>
            </w:r>
          </w:p>
        </w:tc>
        <w:tc>
          <w:tcPr>
            <w:tcW w:type="dxa" w:w="2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业务唯一键冲突</w:t>
            </w:r>
          </w:p>
        </w:tc>
        <w:tc>
          <w:tcPr>
            <w:tcW w:type="dxa" w:w="4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进入幂等对账</w:t>
            </w:r>
          </w:p>
        </w:tc>
        <w:tc>
          <w:tcPr>
            <w:tcW w:type="dxa" w:w="2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不盲重试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响应超时，结果未知</w:t>
            </w:r>
          </w:p>
        </w:tc>
        <w:tc>
          <w:tcPr>
            <w:tcW w:type="dxa" w:w="4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OUTCOME_UNCERTAIN</w:t>
            </w:r>
          </w:p>
        </w:tc>
        <w:tc>
          <w:tcPr>
            <w:tcW w:type="dxa" w:w="2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先对账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SaaS 幂等优先级  </w:t>
      </w:r>
      <w:r>
        <w:rPr>
          <w:rFonts w:ascii="Calibri" w:hAnsi="Calibri" w:eastAsia="Noto Sans S Chinese Regular" w:cs="Calibri"/>
          <w:color w:val="0B2545"/>
        </w:rPr>
        <w:t>原生 Idempotency-Key → Atlas 业务唯一标记 → 创建前后查询对账 → 仅本地记录。最后一种不能覆盖“外部成功、落库前崩溃”，必须标为高风险。</w:t>
      </w:r>
    </w:p>
    <w:p>
      <w:r>
        <w:br w:type="page"/>
      </w:r>
    </w:p>
    <w:p>
      <w:pPr>
        <w:pStyle w:val="Kicker"/>
        <w:keepNext/>
      </w:pPr>
      <w:r>
        <w:t>15 / RESOURCE LEDGER</w:t>
      </w:r>
    </w:p>
    <w:p>
      <w:pPr>
        <w:pStyle w:val="Heading1"/>
      </w:pPr>
      <w:r>
        <w:t>资源台账与逆序清理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400"/>
        <w:gridCol w:w="3360"/>
      </w:tblGrid>
      <w:tr>
        <w:trPr>
          <w:tblHeader w:val="true"/>
          <w:cantSplit/>
        </w:trPr>
        <w:tc>
          <w:tcPr>
            <w:tcW w:type="dxa" w:w="1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字段组</w:t>
            </w:r>
          </w:p>
        </w:tc>
        <w:tc>
          <w:tcPr>
            <w:tcW w:type="dxa" w:w="4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核心字段</w:t>
            </w:r>
          </w:p>
        </w:tc>
        <w:tc>
          <w:tcPr>
            <w:tcW w:type="dxa" w:w="33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范围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tenant/project/environment/setupRun/node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阻断跨租户、跨环境引用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资源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kind、connector、opaqueRef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定位外部对象，避免裸 ID 外溢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所有权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CREATED / ADOPTED / LEASED / SHARED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决定可否自动删除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依赖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parentResourceIds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生成逆序清理计划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生命周期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ACTIVE / CLEANUP_PENDING / CLEANED / LEAKED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支持重试与泄漏中心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策略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cleanupOperation、TTL、retainUntil</w:t>
            </w:r>
          </w:p>
        </w:tc>
        <w:tc>
          <w:tcPr>
            <w:tcW w:type="dxa" w:w="3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定义自动与人工处置</w:t>
            </w:r>
          </w:p>
        </w:tc>
      </w:tr>
    </w:tbl>
    <w:p>
      <w:pPr>
        <w:pStyle w:val="SmallText"/>
      </w:pPr>
    </w:p>
    <w:p>
      <w:pPr>
        <w:pStyle w:val="Heading2"/>
      </w:pPr>
      <w:r>
        <w:t>15.1 清理规则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按资源依赖和 DAG 逆拓扑清理：先来访单，再客户；独立分支可并行。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只自动删除 CREATED；ADOPTED 解除绑定，LEASED 归还租约，SHARED 默认保留。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删除返回 404 视为幂等成功；子资源未清理时，父资源进入 BLOCKED_BY_CHILD。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Workflow 结束后仍由 Sweeper 按 TTL 扫描 CLEANUP_PENDING / ORPHAN_SUSPECTED。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清理失败不覆盖测试结果，Task 显示“测试完成但存在数据泄漏”。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默认策略  </w:t>
      </w:r>
      <w:r>
        <w:rPr>
          <w:rFonts w:ascii="Calibri" w:hAnsi="Calibri" w:eastAsia="Noto Sans S Chinese Regular" w:cs="Calibri"/>
          <w:color w:val="0B2545"/>
        </w:rPr>
        <w:t>非生产环境使用 ALWAYS；调试时可 RETAIN_ON_FAILURE，但必须有权限、原因和自动过期时间。生产环境默认禁止执行数据预加载。</w:t>
      </w:r>
    </w:p>
    <w:p>
      <w:r>
        <w:br w:type="page"/>
      </w:r>
    </w:p>
    <w:p>
      <w:pPr>
        <w:pStyle w:val="Kicker"/>
        <w:keepNext/>
      </w:pPr>
      <w:r>
        <w:t>16 / MODULE BOUNDARIES</w:t>
      </w:r>
    </w:p>
    <w:p>
      <w:pPr>
        <w:pStyle w:val="Heading1"/>
      </w:pPr>
      <w:r>
        <w:t>与身份、用例、任务和 Agent 的边界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上/下游模块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向 Fixture 提供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Fixture 返回 / 约束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身份与测试账号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actor slot → accountLeaseId；ConnectorInstallation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租约必须覆盖准备、测试与清理；不保存密码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用例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blueprintVersionId、inputs、角色映射、生命周期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Fixture Manifest；精确版本，不使用 latest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批量任务 Task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executionId、并发、取消、超时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PREPARATION 状态、ready/failed 事件、cleanup 状态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Browser Agent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开始/结束/失败信号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只读显式 exports；不能修改蓝图或调用 Connector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结果中心</w:t>
            </w:r>
          </w:p>
        </w:tc>
        <w:tc>
          <w:tcPr>
            <w:tcW w:type="dxa" w:w="3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运行关联 ID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图回放、节点证据、资源与泄漏摘要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Test Task</w:t>
        <w:br/>
        <w:t xml:space="preserve">  ├─ acquire actor leases</w:t>
        <w:br/>
        <w:t xml:space="preserve">  ├─ Fixture Run → READY → Fixture Manifest</w:t>
        <w:br/>
        <w:t xml:space="preserve">  ├─ Browser Agent → Test Result</w:t>
        <w:br/>
        <w:t xml:space="preserve">  └─ release Fixture → cleanup resources → release leases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租约边界  </w:t>
      </w:r>
      <w:r>
        <w:rPr>
          <w:rFonts w:ascii="Calibri" w:hAnsi="Calibri" w:eastAsia="Noto Sans S Chinese Regular" w:cs="Calibri"/>
          <w:color w:val="0B2545"/>
        </w:rPr>
        <w:t>如果清理依赖某个测试账号，该账号租约必须覆盖完整生命周期；若清理可能延后，原子必须声明独立 cleanupAuthProfile。</w:t>
      </w:r>
    </w:p>
    <w:p>
      <w:r>
        <w:br w:type="page"/>
      </w:r>
    </w:p>
    <w:p>
      <w:pPr>
        <w:pStyle w:val="Kicker"/>
        <w:keepNext/>
      </w:pPr>
      <w:r>
        <w:t>17 / ARCHITECTURE</w:t>
      </w:r>
    </w:p>
    <w:p>
      <w:pPr>
        <w:pStyle w:val="Heading1"/>
      </w:pPr>
      <w:r>
        <w:t>Python 3.14 落地架构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层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建议组件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API / Control Plane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FastAPI + Python 3.14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资产、版本、编译、运行与权限 API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Compiler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Pydantic + JSON Schema 2020-12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DAG、类型、能力、环境和策略检查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Orchestration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Temporal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长流程、定时器、重试、取消、恢复与清理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Truth Store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PostgreSQL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执行状态、幂等、资源台账、Outbox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Worker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Python 隔离进程/容器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运行审核过的 Atom Plugin 与 Connector Operation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Artifacts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加密对象存储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大型输出、脱敏原始响应、清理载荷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Observability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OpenTelemetry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Task → Fixture → Node → Connector → Resource 链路</w:t>
            </w:r>
          </w:p>
        </w:tc>
      </w:tr>
    </w:tbl>
    <w:p>
      <w:pPr>
        <w:pStyle w:val="SmallText"/>
      </w:pPr>
    </w:p>
    <w:p>
      <w:pPr>
        <w:pStyle w:val="Heading2"/>
      </w:pPr>
      <w:r>
        <w:t>17.1 执行顺序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API 写入 Run、Idempotency Claim 与 Outbox；PostgreSQL 是事实来源。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Temporal Workflow 加载不可变计划，按拓扑层调度 Activities。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Activity 通过 Connector 调用 SaaS，验证后在同一事务写节点状态、资源台账与事件。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Workflow 生成只含显式 exports 的 Fixture Manifest，并等待测试完成/取消信号。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Cleanup Workflow 逆序回收；Sweeper 独立扫描 TTL 和泄漏。</w:t>
      </w:r>
    </w:p>
    <w:p>
      <w:r>
        <w:rPr>
          <w:rFonts w:ascii="Calibri" w:hAnsi="Calibri" w:eastAsia="Noto Sans S Chinese Regular" w:cs="Calibri"/>
        </w:rPr>
        <w:t>Temporal Workflow 代码必须确定性；外部 API、数据库与对象存储 I/O 放在 Activities 中。</w:t>
      </w:r>
    </w:p>
    <w:p>
      <w:r>
        <w:br w:type="page"/>
      </w:r>
    </w:p>
    <w:p>
      <w:pPr>
        <w:pStyle w:val="Kicker"/>
        <w:keepNext/>
      </w:pPr>
      <w:r>
        <w:t>18 / API &amp; EVENTS</w:t>
      </w:r>
    </w:p>
    <w:p>
      <w:pPr>
        <w:pStyle w:val="Heading1"/>
      </w:pPr>
      <w:r>
        <w:t>首期外部接口与事件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POST /v1/projects/{projectId}/data-atoms</w:t>
        <w:br/>
        <w:t>POST /v1/data-atoms/{atomId}/versions</w:t>
        <w:br/>
        <w:t>POST /v1/data-atom-versions/{versionId}:validate</w:t>
        <w:br/>
        <w:t>POST /v1/data-atom-versions/{versionId}:publish</w:t>
        <w:br/>
        <w:br/>
        <w:t>POST /v1/projects/{projectId}/data-blueprints</w:t>
        <w:br/>
        <w:t>POST /v1/data-blueprint-versions/{versionId}:compile</w:t>
        <w:br/>
        <w:t>POST /v1/data-blueprint-versions/{versionId}:publish</w:t>
        <w:br/>
        <w:br/>
        <w:t>POST /v1/fixture-runs                         // 202 Accepted</w:t>
        <w:br/>
        <w:t>GET  /v1/fixture-runs/{runId}</w:t>
        <w:br/>
        <w:t>GET  /v1/fixture-runs/{runId}/manifest</w:t>
        <w:br/>
        <w:t>GET  /v1/fixture-runs/{runId}/resources</w:t>
        <w:br/>
        <w:t>POST /v1/fixture-runs/{runId}:cancel</w:t>
        <w:br/>
        <w:t>POST /v1/fixture-runs/{runId}:release</w:t>
        <w:br/>
        <w:t>POST /v1/fixture-runs/{runId}:retry-cleanup</w:t>
      </w:r>
    </w:p>
    <w:p>
      <w:r>
        <w:rPr>
          <w:rFonts w:ascii="Calibri" w:hAnsi="Calibri" w:eastAsia="Noto Sans S Chinese Regular" w:cs="Calibri"/>
        </w:rPr>
        <w:t>运行创建接口必须携带 Idempotency-Key。只有 Run 进入 READY 后，测试任务才可读取 Manifest 并启动浏览器 Agent。</w:t>
      </w:r>
    </w:p>
    <w:p>
      <w:pPr>
        <w:pStyle w:val="Heading2"/>
      </w:pPr>
      <w:r>
        <w:t>18.1 CloudEvents 风格领域事件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atlas.fixture.run.requested.v1</w:t>
        <w:br/>
        <w:t>atlas.fixture.run.ready.v1</w:t>
        <w:br/>
        <w:t>atlas.fixture.run.failed.v1</w:t>
        <w:br/>
        <w:t>atlas.fixture.node.outcome_uncertain.v1</w:t>
        <w:br/>
        <w:t>atlas.fixture.resource.registered.v1</w:t>
        <w:br/>
        <w:t>atlas.fixture.resource.cleanup_failed.v1</w:t>
        <w:br/>
        <w:t>atlas.fixture.run.released.v1</w:t>
      </w:r>
    </w:p>
    <w:p>
      <w:r>
        <w:rPr>
          <w:rFonts w:ascii="Calibri" w:hAnsi="Calibri" w:eastAsia="Noto Sans S Chinese Regular" w:cs="Calibri"/>
        </w:rPr>
        <w:t>事件只携带标识、状态和脱敏摘要；完整输入、输出和 SaaS 响应通过受控 Artifact Ref 引用。</w:t>
      </w:r>
    </w:p>
    <w:p>
      <w:r>
        <w:br w:type="page"/>
      </w:r>
    </w:p>
    <w:p>
      <w:pPr>
        <w:pStyle w:val="Kicker"/>
        <w:keepNext/>
      </w:pPr>
      <w:r>
        <w:t>19 / SECURITY &amp; MCP</w:t>
      </w:r>
    </w:p>
    <w:p>
      <w:pPr>
        <w:pStyle w:val="Heading1"/>
      </w:pPr>
      <w:r>
        <w:t>安全边界与 Agent / MCP 接入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威胁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控制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SSRF / 任意接口调用</w:t>
            </w:r>
          </w:p>
        </w:tc>
        <w:tc>
          <w:tcPr>
            <w:tcW w:type="dxa" w:w="6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只能调用已安装 Connector 的声明式 Operation；URL、Tenant、Header 不可覆盖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表达式与代码注入</w:t>
            </w:r>
          </w:p>
        </w:tc>
        <w:tc>
          <w:tcPr>
            <w:tcW w:type="dxa" w:w="6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禁用任意 JS/TS/Shell/SQL；只允许结构化引用和审核过的纯 Transform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凭证泄漏</w:t>
            </w:r>
          </w:p>
        </w:tc>
        <w:tc>
          <w:tcPr>
            <w:tcW w:type="dxa" w:w="6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凭证仅在 Vault 与 Worker 内；Manifest、日志、Trace、事件不含 Secret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跨租户资源引用</w:t>
            </w:r>
          </w:p>
        </w:tc>
        <w:tc>
          <w:tcPr>
            <w:tcW w:type="dxa" w:w="6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ResourceRef 绑定 tenant/project/environment/connector；服务端二次校验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恶意清理</w:t>
            </w:r>
          </w:p>
        </w:tc>
        <w:tc>
          <w:tcPr>
            <w:tcW w:type="dxa" w:w="6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只删除 CREATED，并验证 execution ownership 与父子依赖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资源耗尽</w:t>
            </w:r>
          </w:p>
        </w:tc>
        <w:tc>
          <w:tcPr>
            <w:tcW w:type="dxa" w:w="6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编译期 fan-out/配额估算；运行期限流、并发、节点与输出大小限制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生产误操作</w:t>
            </w:r>
          </w:p>
        </w:tc>
        <w:tc>
          <w:tcPr>
            <w:tcW w:type="dxa" w:w="6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API Policy、Worker Endpoint、Vault Credential 三层硬拒绝</w:t>
            </w:r>
          </w:p>
        </w:tc>
      </w:tr>
    </w:tbl>
    <w:p>
      <w:pPr>
        <w:pStyle w:val="SmallText"/>
      </w:pPr>
    </w:p>
    <w:p>
      <w:pPr>
        <w:pStyle w:val="Heading2"/>
      </w:pPr>
      <w:r>
        <w:t>19.1 面向 Agent 的安全 MCP 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允许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list_atoms / get_atom_contract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execute_http / call_provider_api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validate_blueprint / compile_blueprint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run_script / eval_expression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start_fixture_run / get_run_status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get_secret / get_cookie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get_fixture_manifest / request_cleanup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override_endpoint / create_runtime_atom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Agent 权限  </w:t>
      </w:r>
      <w:r>
        <w:rPr>
          <w:rFonts w:ascii="Calibri" w:hAnsi="Calibri" w:eastAsia="Noto Sans S Chinese Regular" w:cs="Calibri"/>
          <w:color w:val="0B2545"/>
        </w:rPr>
        <w:t>Agent 可以根据文档生成 Draft、发起校验和试运行；副作用原子与蓝图发布需要人工或策略审批，不能由 Agent 直接越权发布。</w:t>
      </w:r>
    </w:p>
    <w:p>
      <w:r>
        <w:br w:type="page"/>
      </w:r>
    </w:p>
    <w:p>
      <w:pPr>
        <w:pStyle w:val="Kicker"/>
        <w:keepNext/>
      </w:pPr>
      <w:r>
        <w:t>20 / OBSERVABILITY</w:t>
      </w:r>
    </w:p>
    <w:p>
      <w:pPr>
        <w:pStyle w:val="Heading1"/>
      </w:pPr>
      <w:r>
        <w:t>错误协议、证据与运行指标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80"/>
        <w:gridCol w:w="358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类别</w:t>
            </w:r>
          </w:p>
        </w:tc>
        <w:tc>
          <w:tcPr>
            <w:tcW w:type="dxa" w:w="39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代表错误码</w:t>
            </w:r>
          </w:p>
        </w:tc>
        <w:tc>
          <w:tcPr>
            <w:tcW w:type="dxa" w:w="35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默认动作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VALIDATION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PORT_TYPE_MISMATCH</w:t>
            </w:r>
          </w:p>
        </w:tc>
        <w:tc>
          <w:tcPr>
            <w:tcW w:type="dxa" w:w="3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阻止编译/发布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POLICY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EXECUTION_POLICY_DENIED</w:t>
            </w:r>
          </w:p>
        </w:tc>
        <w:tc>
          <w:tcPr>
            <w:tcW w:type="dxa" w:w="3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拒绝运行并记录策略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AUTH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CONNECTOR_AUTH_FAILED</w:t>
            </w:r>
          </w:p>
        </w:tc>
        <w:tc>
          <w:tcPr>
            <w:tcW w:type="dxa" w:w="3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刷新一次或失败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RATE_LIMIT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CONNECTOR_RATE_LIMITED</w:t>
            </w:r>
          </w:p>
        </w:tc>
        <w:tc>
          <w:tcPr>
            <w:tcW w:type="dxa" w:w="3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按 Retry-After 重试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TRANSIENT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CONNECTOR_TIMEOUT</w:t>
            </w:r>
          </w:p>
        </w:tc>
        <w:tc>
          <w:tcPr>
            <w:tcW w:type="dxa" w:w="3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预算内退避；未知则对账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UNCERTAIN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OUTCOME_UNCERTAIN</w:t>
            </w:r>
          </w:p>
        </w:tc>
        <w:tc>
          <w:tcPr>
            <w:tcW w:type="dxa" w:w="3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暂停下游并 reconcile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CLEANUP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CLEANUP_RETRY_EXHAUSTED</w:t>
            </w:r>
          </w:p>
        </w:tc>
        <w:tc>
          <w:tcPr>
            <w:tcW w:type="dxa" w:w="3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进入泄漏中心</w:t>
            </w:r>
          </w:p>
        </w:tc>
      </w:tr>
    </w:tbl>
    <w:p>
      <w:pPr>
        <w:pStyle w:val="SmallText"/>
      </w:pPr>
    </w:p>
    <w:p>
      <w:pPr>
        <w:pStyle w:val="Heading2"/>
      </w:pPr>
      <w:r>
        <w:t>20.1 每个节点的证据包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精确原子/适配器版本、planDigest、actor slot 与账号租约引用。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脱敏输入/输出预览、UnitAttempt 次数、耗时、Provider 状态与 postcondition 结果。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资源台账条目、父子关系、清理策略、清理 UnitAttempt 和最终状态。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不确定结果的 reconcile 查询与人工处置记录。</w:t>
      </w:r>
    </w:p>
    <w:p>
      <w:pPr>
        <w:pStyle w:val="Heading2"/>
      </w:pPr>
      <w:r>
        <w:t>20.2 首期看板指标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fixture_ready_latency、node_success_rate、provider_error_rate、rate_limit_wait。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outcome_uncertain_rate、duplicate_prevented_count、cleanup_pending_count/age、leaked_resource_count。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按蓝图版本、原子版本、Connector、环境与角色切片。</w:t>
      </w:r>
    </w:p>
    <w:p>
      <w:r>
        <w:br w:type="page"/>
      </w:r>
    </w:p>
    <w:p>
      <w:pPr>
        <w:pStyle w:val="Kicker"/>
        <w:keepNext/>
      </w:pPr>
      <w:r>
        <w:t>21 / ACCEPTANCE</w:t>
      </w:r>
    </w:p>
    <w:p>
      <w:pPr>
        <w:pStyle w:val="Heading1"/>
      </w:pPr>
      <w:r>
        <w:t>首期必须通过的可靠性验收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有环、类型不匹配、缺少必填输入、跨环境 ResourceRef 的蓝图不能发布。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同一逻辑幂等键不会创建两个资源；UnitAttempt 变化不改变幂等键。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Provider 已提交、Worker 落库前崩溃时，可通过唯一标记找回并补记资源。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HTTP 200 但读后验证失败，节点不能进入 SUCCEEDED。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创建来访单时必须验证其绑定的是预期客户资源句柄。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运行取消、平台重启、重复消息均不跳过清理。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逆序清理只删除 CREATED 资源，借用/共享资源不会被误删。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Workflow 消失后，Sweeper 仍能发现 TTL 泄漏并进入泄漏中心。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生产地址在 API、Worker、Credential 三层均被拒绝。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Prompt、参数和 MCP 均不能改变 URL/Header、读取凭证或执行代码。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日志、Trace、事件和错误中没有 Secret 与未脱敏 PII。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UNKNOWN 与 CLEANUP_PENDING 清晰可见，且不计为完全成功。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Definition of Done  </w:t>
      </w:r>
      <w:r>
        <w:rPr>
          <w:rFonts w:ascii="Calibri" w:hAnsi="Calibri" w:eastAsia="Noto Sans S Chinese Regular" w:cs="Calibri"/>
          <w:color w:val="0B2545"/>
        </w:rPr>
        <w:t>首个“创建客户 → 创建来访单 → 页面验证 → 删除来访单 → 删除客户”闭环，在故障注入下仍可重放、对账、清理和审计。</w:t>
      </w:r>
    </w:p>
    <w:p>
      <w:r>
        <w:br w:type="page"/>
      </w:r>
    </w:p>
    <w:p>
      <w:pPr>
        <w:pStyle w:val="Kicker"/>
        <w:keepNext/>
      </w:pPr>
      <w:r>
        <w:t>22 / DELIVERY PLAN</w:t>
      </w:r>
    </w:p>
    <w:p>
      <w:pPr>
        <w:pStyle w:val="Heading1"/>
      </w:pPr>
      <w:r>
        <w:t>MVP 收敛与迭代路线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000"/>
        <w:gridCol w:w="2910"/>
      </w:tblGrid>
      <w:tr>
        <w:trPr>
          <w:tblHeader w:val="true"/>
          <w:cantSplit/>
        </w:trPr>
        <w:tc>
          <w:tcPr>
            <w:tcW w:type="dxa" w:w="14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范围</w:t>
            </w:r>
          </w:p>
        </w:tc>
        <w:tc>
          <w:tcPr>
            <w:tcW w:type="dxa" w:w="29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交付判断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P0 协议</w:t>
            </w:r>
          </w:p>
        </w:tc>
        <w:tc>
          <w:tcPr>
            <w:tcW w:type="dxa" w:w="5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Schema、版本、状态、错误、幂等、ResourceRef、清理</w:t>
            </w:r>
          </w:p>
        </w:tc>
        <w:tc>
          <w:tcPr>
            <w:tcW w:type="dxa" w:w="2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完成评审与契约测试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P1 最小闭环</w:t>
            </w:r>
          </w:p>
        </w:tc>
        <w:tc>
          <w:tcPr>
            <w:tcW w:type="dxa" w:w="5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客户→来访单→验证→清理；Mock/Fault Provider</w:t>
            </w:r>
          </w:p>
        </w:tc>
        <w:tc>
          <w:tcPr>
            <w:tcW w:type="dxa" w:w="2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故障注入下无重复、可找回、可清理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P2 真实接入</w:t>
            </w:r>
          </w:p>
        </w:tc>
        <w:tc>
          <w:tcPr>
            <w:tcW w:type="dxa" w:w="5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CRM SaaS Connector + 身份租约</w:t>
            </w:r>
          </w:p>
        </w:tc>
        <w:tc>
          <w:tcPr>
            <w:tcW w:type="dxa" w:w="2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staging 环境稳定执行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P3 可视编排</w:t>
            </w:r>
          </w:p>
        </w:tc>
        <w:tc>
          <w:tcPr>
            <w:tcW w:type="dxa" w:w="5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原子库、画布、检查器、试运行、图回放</w:t>
            </w:r>
          </w:p>
        </w:tc>
        <w:tc>
          <w:tcPr>
            <w:tcW w:type="dxa" w:w="2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测试设计者可独立产出蓝图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P4 用例与批量</w:t>
            </w:r>
          </w:p>
        </w:tc>
        <w:tc>
          <w:tcPr>
            <w:tcW w:type="dxa" w:w="5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绑定、并发、Task、结果与泄漏中心</w:t>
            </w:r>
          </w:p>
        </w:tc>
        <w:tc>
          <w:tcPr>
            <w:tcW w:type="dxa" w:w="2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持续批量回归可运营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P5 资产生态</w:t>
            </w:r>
          </w:p>
        </w:tc>
        <w:tc>
          <w:tcPr>
            <w:tcW w:type="dxa" w:w="5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OpenAPI 辅助生成 Draft、更多业务域、复用治理</w:t>
            </w:r>
          </w:p>
        </w:tc>
        <w:tc>
          <w:tcPr>
            <w:tcW w:type="dxa" w:w="2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形成可搜索组件市场</w:t>
            </w:r>
          </w:p>
        </w:tc>
      </w:tr>
    </w:tbl>
    <w:p>
      <w:pPr>
        <w:pStyle w:val="SmallText"/>
      </w:pPr>
    </w:p>
    <w:p>
      <w:pPr>
        <w:pStyle w:val="Heading2"/>
      </w:pPr>
      <w:r>
        <w:t>22.1 第一批资产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crm.customer.create / findByTrackingId / delete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crm.visit.create / delete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system.unique_marker.generate / wait.search_visible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蓝图 crm.customer-with-visit@1.0.0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建议的下一步  </w:t>
      </w:r>
      <w:r>
        <w:rPr>
          <w:rFonts w:ascii="Calibri" w:hAnsi="Calibri" w:eastAsia="Noto Sans S Chinese Regular" w:cs="Calibri"/>
          <w:color w:val="0B2545"/>
        </w:rPr>
        <w:t>先确认第 1 页的 12 个决策；随后设计“原子资产库”和“数据准备工作台”两个页面的字段、状态和交互，并同步冻结 P0 协议。</w:t>
      </w:r>
    </w:p>
    <w:p>
      <w:r>
        <w:br w:type="page"/>
      </w:r>
    </w:p>
    <w:p>
      <w:pPr>
        <w:pStyle w:val="Kicker"/>
        <w:keepNext/>
      </w:pPr>
      <w:r>
        <w:t>APPENDIX A</w:t>
      </w:r>
    </w:p>
    <w:p>
      <w:pPr>
        <w:pStyle w:val="Heading1"/>
      </w:pPr>
      <w:r>
        <w:t>蓝图示例：创建客户 → 创建来访单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{</w:t>
        <w:br/>
        <w:t xml:space="preserve">  "blueprint": "crm.customer-with-visit@1.0.0",</w:t>
        <w:br/>
        <w:t xml:space="preserve">  "nodes": [</w:t>
        <w:br/>
        <w:t xml:space="preserve">    {</w:t>
        <w:br/>
        <w:t xml:space="preserve">      "key": "customer",</w:t>
        <w:br/>
        <w:t xml:space="preserve">      "atom": "crm.customer.create@1.0.0",</w:t>
        <w:br/>
        <w:t xml:space="preserve">      "actorSlot": "sales_owner",</w:t>
        <w:br/>
        <w:t xml:space="preserve">      "inputs": {</w:t>
        <w:br/>
        <w:t xml:space="preserve">        "displayName": "run:/customerName",</w:t>
        <w:br/>
        <w:t xml:space="preserve">        "trackingId": "context:executionId"</w:t>
        <w:br/>
        <w:t xml:space="preserve">      }</w:t>
        <w:br/>
        <w:t xml:space="preserve">    },</w:t>
        <w:br/>
        <w:t xml:space="preserve">    {</w:t>
        <w:br/>
        <w:t xml:space="preserve">      "key": "visit",</w:t>
        <w:br/>
        <w:t xml:space="preserve">      "atom": "crm.visit.create@1.0.0",</w:t>
        <w:br/>
        <w:t xml:space="preserve">      "actorSlot": "sales_owner",</w:t>
        <w:br/>
        <w:t xml:space="preserve">      "inputs": {</w:t>
        <w:br/>
        <w:t xml:space="preserve">        "customer": "node:customer.customer",</w:t>
        <w:br/>
        <w:t xml:space="preserve">        "visitorName": "run:/visitorName"</w:t>
        <w:br/>
        <w:t xml:space="preserve">      }</w:t>
        <w:br/>
        <w:t xml:space="preserve">    }</w:t>
        <w:br/>
        <w:t xml:space="preserve">  ],</w:t>
        <w:br/>
        <w:t xml:space="preserve">  "exports": {</w:t>
        <w:br/>
        <w:t xml:space="preserve">    "customerId": "node:customer.customerId",</w:t>
        <w:br/>
        <w:t xml:space="preserve">    "trackingId": "node:customer.trackingId",</w:t>
        <w:br/>
        <w:t xml:space="preserve">    "visitId": "node:visit.visitId"</w:t>
        <w:br/>
        <w:t xml:space="preserve">  },</w:t>
        <w:br/>
        <w:t xml:space="preserve">  "cleanup": "ALWAYS"</w:t>
        <w:br/>
        <w:t>}</w:t>
      </w:r>
    </w:p>
    <w:p>
      <w:r>
        <w:rPr>
          <w:rFonts w:ascii="Calibri" w:hAnsi="Calibri" w:eastAsia="Noto Sans S Chinese Regular" w:cs="Calibri"/>
        </w:rPr>
        <w:t>运行成功后只输出上述 exports。测试完成调用 release，清理计划先删除来访单，再删除客户。</w:t>
      </w:r>
    </w:p>
    <w:p>
      <w:r>
        <w:br w:type="page"/>
      </w:r>
    </w:p>
    <w:p>
      <w:pPr>
        <w:pStyle w:val="Kicker"/>
        <w:keepNext/>
      </w:pPr>
      <w:r>
        <w:t>APPENDIX B</w:t>
      </w:r>
    </w:p>
    <w:p>
      <w:pPr>
        <w:pStyle w:val="Heading1"/>
      </w:pPr>
      <w:r>
        <w:t>参考规范与实现依据</w:t>
      </w:r>
    </w:p>
    <w:p>
      <w:pPr>
        <w:pStyle w:val="ListBullet"/>
        <w:spacing w:after="60"/>
      </w:pPr>
      <w:hyperlink r:id="rId17">
        <w:r>
          <w:rPr>
            <w:color w:val="2E74B5"/>
            <w:u w:val="single"/>
          </w:rPr>
          <w:t>JSON Schema Draft 2020-12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原子输入/输出契约与编译期验证。</w:t>
      </w:r>
    </w:p>
    <w:p>
      <w:pPr>
        <w:pStyle w:val="ListBullet"/>
        <w:spacing w:after="60"/>
      </w:pPr>
      <w:hyperlink r:id="rId18">
        <w:r>
          <w:rPr>
            <w:color w:val="2E74B5"/>
            <w:u w:val="single"/>
          </w:rPr>
          <w:t>Temporal Workflows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持久化编排、确定性 Workflow 与外部 I/O Activity 边界。</w:t>
      </w:r>
    </w:p>
    <w:p>
      <w:pPr>
        <w:pStyle w:val="ListBullet"/>
        <w:spacing w:after="60"/>
      </w:pPr>
      <w:hyperlink r:id="rId19">
        <w:r>
          <w:rPr>
            <w:color w:val="2E74B5"/>
            <w:u w:val="single"/>
          </w:rPr>
          <w:t>PostgreSQL JSON Types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结构化快照、JSONB 查询与索引；固定核心字段仍使用关系列。</w:t>
      </w:r>
    </w:p>
    <w:p>
      <w:pPr>
        <w:pStyle w:val="ListBullet"/>
        <w:spacing w:after="60"/>
      </w:pPr>
      <w:hyperlink r:id="rId20">
        <w:r>
          <w:rPr>
            <w:color w:val="2E74B5"/>
            <w:u w:val="single"/>
          </w:rPr>
          <w:t>CloudEvents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领域事件信封与跨系统互操作风格。</w:t>
      </w:r>
    </w:p>
    <w:p>
      <w:pPr>
        <w:pStyle w:val="Heading2"/>
      </w:pPr>
      <w:r>
        <w:t>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术语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Fixture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为某次测试创建或租用的数据与资源现场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Atom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最小可调度、可验证、可清理的业务能力单元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Blueprint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原子节点、强类型关系、角色与输出组成的版本化 DAG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Compiled Plan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所有版本、能力、策略与清理顺序已冻结的执行快照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Manifest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测试 Agent 可见的、显式发布的类型化输出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Resource Ledger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外部资源的所有权、定位、依赖和清理状态事实来源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Reconcile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结果不确定时，根据幂等标记向 SaaS 查询并恢复真实状态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ALIGNMENT CLOSE</w:t>
      </w:r>
    </w:p>
    <w:p>
      <w:pPr>
        <w:spacing w:before="1400" w:after="240"/>
      </w:pPr>
      <w:r>
        <w:rPr>
          <w:rFonts w:ascii="Calibri" w:hAnsi="Calibri" w:eastAsia="Noto Sans S Chinese Bold" w:cs="Calibri"/>
          <w:b/>
          <w:color w:val="10151E"/>
          <w:sz w:val="50"/>
        </w:rPr>
        <w:t>原子解决复用，</w:t>
        <w:br/>
        <w:t>蓝图解决关系，</w:t>
        <w:br/>
        <w:t>台账解决真实世界的不确定性。</w:t>
      </w:r>
    </w:p>
    <w:p>
      <w:pPr>
        <w:spacing w:after="560"/>
      </w:pPr>
      <w:r>
        <w:rPr>
          <w:rFonts w:ascii="Calibri" w:hAnsi="Calibri" w:eastAsia="Noto Sans S Chinese Medium" w:cs="Calibri"/>
          <w:color w:val="687386"/>
          <w:sz w:val="26"/>
        </w:rPr>
        <w:t>第二功能的价值，不只是“预先调用几个接口”，而是让每一次测试都拥有可解释、可重放、可回收的数据现场。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确认后进入  </w:t>
      </w:r>
      <w:r>
        <w:rPr>
          <w:rFonts w:ascii="Calibri" w:hAnsi="Calibri" w:eastAsia="Noto Sans S Chinese Regular" w:cs="Calibri"/>
          <w:color w:val="0B2545"/>
        </w:rPr>
        <w:t>原子资产库字段设计 → 数据准备工作台交互 → P0 Python 协议与数据库模型。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6" w:space="5" w:color="D8DEE8"/>
      </w:pBdr>
    </w:pPr>
    <w:r>
      <w:rPr>
        <w:rFonts w:ascii="Calibri" w:hAnsi="Calibri" w:eastAsia="Noto Sans S Chinese Regular" w:cs="Calibri"/>
        <w:b/>
        <w:color w:val="687386"/>
        <w:sz w:val="17"/>
      </w:rPr>
      <w:t>ATLAS  /  FIXTURE STUDIO  /  功能设计对齐稿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Noto Sans S Chinese Regular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S Chinese Regular" w:cs="Calibri"/>
      <w:b/>
      <w:color w:val="10151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Noto Sans S Chinese Regular" w:cs="Calibri"/>
      <w:i/>
      <w:iCs/>
      <w:color w:val="687386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Calibri" w:hAnsi="Calibri" w:eastAsia="Noto Sans S Chinese Regular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Calibri" w:hAnsi="Calibri" w:eastAsia="Noto Sans S Chinese Regular" w:cs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200"/>
      <w:jc w:val="center"/>
    </w:pPr>
    <w:rPr>
      <w:rFonts w:ascii="Calibri" w:hAnsi="Calibri" w:eastAsia="Noto Sans S Chinese Regular" w:cs="Calibri"/>
      <w:b/>
      <w:bCs/>
      <w:i/>
      <w:color w:val="68738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60" w:line="240" w:lineRule="auto"/>
      <w:ind w:left="216" w:right="216"/>
    </w:pPr>
    <w:rPr>
      <w:rFonts w:ascii="Liberation Mono" w:hAnsi="Liberation Mono" w:eastAsia="Noto Sans S Chinese Regular" w:cs="Liberation Mono"/>
      <w:color w:val="0B2545"/>
      <w:sz w:val="16"/>
    </w:rPr>
  </w:style>
  <w:style w:type="paragraph" w:customStyle="1" w:styleId="SmallText">
    <w:name w:val="Small Text"/>
    <w:pPr>
      <w:spacing w:before="0" w:after="80" w:line="252" w:lineRule="auto"/>
    </w:pPr>
    <w:rPr>
      <w:rFonts w:ascii="Calibri" w:hAnsi="Calibri" w:eastAsia="Noto Sans S Chinese Regular" w:cs="Calibri"/>
      <w:color w:val="687386"/>
      <w:sz w:val="18"/>
    </w:rPr>
  </w:style>
  <w:style w:type="paragraph" w:customStyle="1" w:styleId="Kicker">
    <w:name w:val="Kicker"/>
    <w:pPr>
      <w:keepNext/>
      <w:spacing w:before="0" w:after="160"/>
    </w:pPr>
    <w:rPr>
      <w:rFonts w:ascii="Calibri" w:hAnsi="Calibri" w:eastAsia="Noto Sans S Chinese Medium" w:cs="Calibri"/>
      <w:b/>
      <w:color w:val="2E74B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json-schema.org/draft/2020-12" TargetMode="External"/><Relationship Id="rId18" Type="http://schemas.openxmlformats.org/officeDocument/2006/relationships/hyperlink" Target="https://docs.temporal.io/workflows" TargetMode="External"/><Relationship Id="rId19" Type="http://schemas.openxmlformats.org/officeDocument/2006/relationships/hyperlink" Target="https://www.postgresql.org/docs/current/datatype-json.html" TargetMode="External"/><Relationship Id="rId20" Type="http://schemas.openxmlformats.org/officeDocument/2006/relationships/hyperlink" Target="https://cloudevent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数据预加载与原子组件编排功能设计对齐稿 v0.2</dc:title>
  <dc:subject>第二功能：Fixture Studio / 数据准备工作台的产品、领域与技术边界</dc:subject>
  <dc:creator>Atlas Test Space</dc:creator>
  <cp:keywords>Atlas; Python 3.14; FastAPI; Pydantic; Temporal; Playwright</cp:keywords>
  <dc:description>Status: Draft - architecture baseline accepted. Backend baseline: Python 3.14.</dc:description>
  <cp:lastModifiedBy>Atlas Test Space</cp:lastModifiedBy>
  <cp:revision>11</cp:revision>
  <dcterms:created xsi:type="dcterms:W3CDTF">2013-12-23T23:15:00Z</dcterms:created>
  <dcterms:modified xsi:type="dcterms:W3CDTF">2026-07-13T12:00:00Z</dcterms:modified>
  <cp:category/>
</cp:coreProperties>
</file>