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520"/>
      </w:pPr>
      <w:r>
        <w:rPr>
          <w:rFonts w:ascii="Calibri" w:hAnsi="Calibri" w:eastAsia="Noto Sans S Chinese Regular" w:cs="Calibri"/>
          <w:b/>
          <w:color w:val="2E74B5"/>
          <w:sz w:val="19"/>
        </w:rPr>
        <w:t>QUALITY INTELLIGENCE  /  V0.2</w:t>
      </w:r>
    </w:p>
    <w:p>
      <w:pPr>
        <w:spacing w:after="200"/>
      </w:pPr>
      <w:r>
        <w:rPr>
          <w:rFonts w:ascii="Calibri" w:hAnsi="Calibri" w:eastAsia="Noto Sans S Chinese Bold" w:cs="Calibri"/>
          <w:b/>
          <w:color w:val="0B2545"/>
          <w:sz w:val="54"/>
        </w:rPr>
        <w:t>Atlas 洞察中心功能设计及实现对齐稿</w:t>
      </w:r>
    </w:p>
    <w:p>
      <w:pPr>
        <w:spacing w:after="360"/>
        <w:pBdr>
          <w:bottom w:val="single" w:sz="12" w:space="1" w:color="2E74B5"/>
        </w:pBdr>
      </w:pPr>
    </w:p>
    <w:p>
      <w:pPr>
        <w:spacing w:after="560"/>
      </w:pPr>
      <w:r>
        <w:rPr>
          <w:rFonts w:ascii="Calibri" w:hAnsi="Calibri" w:eastAsia="Noto Sans S Chinese Regular" w:cs="Calibri"/>
          <w:i/>
          <w:color w:val="687386"/>
          <w:sz w:val="32"/>
        </w:rPr>
        <w:t>从可信结果到可比趋势、可审计信号与可验证行动</w:t>
      </w:r>
    </w:p>
    <w:p>
      <w:pPr>
        <w:spacing w:after="360"/>
        <w:pBdr>
          <w:bottom w:val="single" w:sz="18" w:space="1" w:color="2E74B5"/>
        </w:pBdr>
      </w:pPr>
    </w:p>
    <w:p>
      <w:pPr>
        <w:spacing w:after="80"/>
      </w:pPr>
      <w:r>
        <w:rPr>
          <w:rFonts w:ascii="Calibri" w:hAnsi="Calibri" w:eastAsia="Noto Sans S Chinese Regular" w:cs="Calibri"/>
          <w:b/>
          <w:color w:val="687386"/>
          <w:sz w:val="21"/>
        </w:rPr>
        <w:t>文档状态：</w:t>
      </w:r>
      <w:r>
        <w:rPr>
          <w:rFonts w:ascii="Calibri" w:hAnsi="Calibri" w:eastAsia="Noto Sans S Chinese Regular" w:cs="Calibri"/>
          <w:color w:val="10151E"/>
          <w:sz w:val="21"/>
        </w:rPr>
        <w:t>产品与技术对齐稿</w:t>
      </w:r>
    </w:p>
    <w:p>
      <w:pPr>
        <w:spacing w:after="80"/>
      </w:pPr>
      <w:r>
        <w:rPr>
          <w:rFonts w:ascii="Calibri" w:hAnsi="Calibri" w:eastAsia="Noto Sans S Chinese Regular" w:cs="Calibri"/>
          <w:b/>
          <w:color w:val="687386"/>
          <w:sz w:val="21"/>
        </w:rPr>
        <w:t>版本：v0.2</w:t>
      </w:r>
      <w:r>
        <w:rPr>
          <w:rFonts w:ascii="Calibri" w:hAnsi="Calibri" w:eastAsia="Noto Sans S Chinese Regular" w:cs="Calibri"/>
          <w:color w:val="10151E"/>
          <w:sz w:val="21"/>
        </w:rPr>
      </w:r>
    </w:p>
    <w:p>
      <w:pPr>
        <w:spacing w:after="80"/>
      </w:pPr>
      <w:r>
        <w:rPr>
          <w:rFonts w:ascii="Calibri" w:hAnsi="Calibri" w:eastAsia="Noto Sans S Chinese Regular" w:cs="Calibri"/>
          <w:b/>
          <w:color w:val="687386"/>
          <w:sz w:val="21"/>
        </w:rPr>
        <w:t>日期：2026-07-13</w:t>
      </w:r>
      <w:r>
        <w:rPr>
          <w:rFonts w:ascii="Calibri" w:hAnsi="Calibri" w:eastAsia="Noto Sans S Chinese Regular" w:cs="Calibri"/>
          <w:color w:val="10151E"/>
          <w:sz w:val="21"/>
        </w:rPr>
      </w:r>
    </w:p>
    <w:p>
      <w:pPr>
        <w:spacing w:after="80"/>
      </w:pPr>
      <w:r>
        <w:rPr>
          <w:rFonts w:ascii="Calibri" w:hAnsi="Calibri" w:eastAsia="Noto Sans S Chinese Regular" w:cs="Calibri"/>
          <w:b/>
          <w:color w:val="687386"/>
          <w:sz w:val="21"/>
        </w:rPr>
        <w:t>功能范围：</w:t>
      </w:r>
      <w:r>
        <w:rPr>
          <w:rFonts w:ascii="Calibri" w:hAnsi="Calibri" w:eastAsia="Noto Sans S Chinese Regular" w:cs="Calibri"/>
          <w:color w:val="10151E"/>
          <w:sz w:val="21"/>
        </w:rPr>
        <w:t>跨任务趋势 / Flaky / 质量信号 / 预算 / 验证行动</w:t>
      </w:r>
    </w:p>
    <w:p>
      <w:pPr>
        <w:spacing w:after="320"/>
      </w:pP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核心结论  </w:t>
      </w:r>
      <w:r>
        <w:rPr>
          <w:rFonts w:ascii="Calibri" w:hAnsi="Calibri" w:eastAsia="Noto Sans S Chinese Regular" w:cs="Calibri"/>
          <w:color w:val="0B2545"/>
        </w:rPr>
        <w:t>洞察中心不是测试 BI，而是长期质量推理层：从版本化结果事实构建可比 Cohort、不可变指标快照与可撤回质量信号。</w:t>
      </w:r>
    </w:p>
    <w:p>
      <w:r>
        <w:rPr>
          <w:rFonts w:ascii="Calibri" w:hAnsi="Calibri" w:eastAsia="Noto Sans S Chinese Regular" w:cs="Calibri"/>
        </w:rPr>
        <w:t>AI 只能解释已计算事实和提出验证建议；它不能改口径、确认根因、修改 Gate 或直接触发执行。</w:t>
      </w:r>
    </w:p>
    <w:p>
      <w:r>
        <w:br w:type="page"/>
      </w:r>
    </w:p>
    <w:p>
      <w:pPr>
        <w:pStyle w:val="Kicker"/>
        <w:keepNext/>
      </w:pPr>
      <w:r>
        <w:t>DOCUMENT MAP</w:t>
      </w:r>
    </w:p>
    <w:p>
      <w:pPr>
        <w:pStyle w:val="Heading1"/>
      </w:pPr>
      <w:r>
        <w:t>阅读地图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500"/>
        <w:gridCol w:w="5660"/>
      </w:tblGrid>
      <w:tr>
        <w:trPr>
          <w:tblHeader w:val="true"/>
          <w:cantSplit/>
        </w:trPr>
        <w:tc>
          <w:tcPr>
            <w:tcW w:type="dxa" w:w="1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页段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主题</w:t>
            </w:r>
          </w:p>
        </w:tc>
        <w:tc>
          <w:tcPr>
            <w:tcW w:type="dxa" w:w="56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回答的问题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01–05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定位与边界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长期质量推理层负责什么、不负责什么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06–14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语义与快照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来源、指标、维度、Cohort、可比性和 DatasetCut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15–21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指标目录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通过、稳定性、可信债务、覆盖、成本与质量预算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22–29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统计与治理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不确定性、异常、迟到、信号生命周期与 AI 边界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30–39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产品体验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质量地形、差异织带、稳定性轨道、Signal Lab 与行动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40–47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实现架构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Python、投影、PostgreSQL、ClickHouse、API、安全与恢复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48–52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交付门槛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测试、验收、路线、ADR 与官方来源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阅读建议  </w:t>
      </w:r>
      <w:r>
        <w:rPr>
          <w:rFonts w:ascii="Calibri" w:hAnsi="Calibri" w:eastAsia="Noto Sans S Chinese Regular" w:cs="Calibri"/>
          <w:color w:val="0B2545"/>
        </w:rPr>
        <w:t>产品与设计优先阅读 03–05、30–39；后端负责人阅读 06–14、40–47；QA 与发布负责人阅读 15–29、48–51。</w:t>
      </w:r>
    </w:p>
    <w:p>
      <w:r>
        <w:br w:type="page"/>
      </w:r>
    </w:p>
    <w:p>
      <w:pPr>
        <w:pStyle w:val="Kicker"/>
        <w:keepNext/>
      </w:pPr>
      <w:r>
        <w:t>01 / EXECUTIVE DECISIONS</w:t>
      </w:r>
    </w:p>
    <w:p>
      <w:pPr>
        <w:pStyle w:val="Heading1"/>
      </w:pPr>
      <w:r>
        <w:t>启动前必须冻结的九项决定</w:t>
      </w:r>
    </w:p>
    <w:p>
      <w:r>
        <w:rPr>
          <w:rFonts w:ascii="Calibri" w:hAnsi="Calibri" w:eastAsia="Noto Sans S Chinese Regular" w:cs="Calibri"/>
        </w:rPr>
        <w:t>洞察最危险的错误不是图表不好看，而是样本、分母、基线或时间在用户不知情时发生变化。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北极星  </w:t>
      </w:r>
      <w:r>
        <w:rPr>
          <w:rFonts w:ascii="Calibri" w:hAnsi="Calibri" w:eastAsia="Noto Sans S Chinese Regular" w:cs="Calibri"/>
          <w:color w:val="0B2545"/>
        </w:rPr>
        <w:t>用户在 60 秒内说明变化、可信度和影响范围，并在 3 分钟内形成验证任务草案。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62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决定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默认值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D1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事实来源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只消费版本化 Result Snapshot 与 Revision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D2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分母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Unit 为默认 Grain；UnitAttempt 不冒充独立样本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D3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聚合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ratio of sums，禁止 avg(rate)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D4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可比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Flaky 与发布回归使用不同可比键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D5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快照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发布洞察绑定 DatasetCut 与 sourceSetDigest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D6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统计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样本、效应、区间、覆盖率同时达标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D7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修订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迟到与撤回只追加 Revision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D8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AI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只叙事和建议，不改口径、不确认因果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D9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行动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只创建草案；任务与 Gate 仍由原领域执行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02 / PRODUCT POSITION</w:t>
      </w:r>
    </w:p>
    <w:p>
      <w:pPr>
        <w:pStyle w:val="Heading1"/>
      </w:pPr>
      <w:r>
        <w:t>不是 Dashboard，而是长期质量推理层</w:t>
      </w:r>
    </w:p>
    <w:p>
      <w:r>
        <w:rPr>
          <w:rFonts w:ascii="Calibri" w:hAnsi="Calibri" w:eastAsia="Noto Sans S Chinese Regular" w:cs="Calibri"/>
        </w:rPr>
        <w:t>洞察中心把跨任务变化组织为可复算的事实链，而不是把结果中心数字换成折线图。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分界句  </w:t>
      </w:r>
      <w:r>
        <w:rPr>
          <w:rFonts w:ascii="Calibri" w:hAnsi="Calibri" w:eastAsia="Noto Sans S Chinese Regular" w:cs="Calibri"/>
          <w:color w:val="0B2545"/>
        </w:rPr>
        <w:t>结果中心解释一次 TaskRun；洞察中心比较多个已最终化结果，形成长期上下文。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回答：哪里在持续变化、变化是否可信、影响谁、下一步如何验证。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默认展示 1–3 个值得行动的 QualitySignal，而不是 KPI 卡片墙。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每个结论公开 Cohort、Baseline、分子、分母、排除项、样本与数据新鲜度。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支持趋势、发布回归、Flaky、可信覆盖、环境债务、人工影响与成本效率。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非目标：预测下次发布失败概率、自动根因、任意 BI、自动隔离与自动修复。</w:t>
      </w:r>
    </w:p>
    <w:p>
      <w:r>
        <w:br w:type="page"/>
      </w:r>
    </w:p>
    <w:p>
      <w:pPr>
        <w:pStyle w:val="Kicker"/>
        <w:keepNext/>
      </w:pPr>
      <w:r>
        <w:t>03 / OWNERSHIP</w:t>
      </w:r>
    </w:p>
    <w:p>
      <w:pPr>
        <w:pStyle w:val="Heading1"/>
      </w:pPr>
      <w:r>
        <w:t>与任务、现场、结果和发布的职责边界</w:t>
      </w:r>
    </w:p>
    <w:p>
      <w:r>
        <w:rPr>
          <w:rFonts w:ascii="Calibri" w:hAnsi="Calibri" w:eastAsia="Noto Sans S Chinese Regular" w:cs="Calibri"/>
        </w:rPr>
        <w:t>模块共享稳定 ID，但每个模块只拥有一类写入；洞察不得把相关性反写为运行事实。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不可越界  </w:t>
      </w:r>
      <w:r>
        <w:rPr>
          <w:rFonts w:ascii="Calibri" w:hAnsi="Calibri" w:eastAsia="Noto Sans S Chinese Regular" w:cs="Calibri"/>
          <w:color w:val="0B2545"/>
        </w:rPr>
        <w:t>Dashboard 的 latest、AI 摘要和未最终化趋势都不能直接成为 CI Gate 输入。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80"/>
        <w:gridCol w:w="368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8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拥有的写入</w:t>
            </w:r>
          </w:p>
        </w:tc>
        <w:tc>
          <w:tcPr>
            <w:tcW w:type="dxa" w:w="3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洞察中心的边界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任务中心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计划、TaskRun、ExecutionUnit、执行命令</w:t>
            </w:r>
          </w:p>
        </w:tc>
        <w:tc>
          <w:tcPr>
            <w:tcW w:type="dxa" w:w="3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只提交验证任务草案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现场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UnitAttempt 实时事件、控制租约</w:t>
            </w:r>
          </w:p>
        </w:tc>
        <w:tc>
          <w:tcPr>
            <w:tcW w:type="dxa" w:w="3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只深链到代表证据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结果中心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Seal、Resolution、Snapshot、Classification</w:t>
            </w:r>
          </w:p>
        </w:tc>
        <w:tc>
          <w:tcPr>
            <w:tcW w:type="dxa" w:w="3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只消费明确 Revision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洞察中心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Metric、Cohort、Insight、Investigation</w:t>
            </w:r>
          </w:p>
        </w:tc>
        <w:tc>
          <w:tcPr>
            <w:tcW w:type="dxa" w:w="3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不修改 Verdict 与 Gate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发布策略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GatePolicy 与 GateDecision</w:t>
            </w:r>
          </w:p>
        </w:tc>
        <w:tc>
          <w:tcPr>
            <w:tcW w:type="dxa" w:w="3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只能显式绑定 BudgetSnapshot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04 / USER QUESTIONS</w:t>
      </w:r>
    </w:p>
    <w:p>
      <w:pPr>
        <w:pStyle w:val="Heading1"/>
      </w:pPr>
      <w:r>
        <w:t>用户不是来找指标，而是来做决定</w:t>
      </w:r>
    </w:p>
    <w:p>
      <w:r>
        <w:rPr>
          <w:rFonts w:ascii="Calibri" w:hAnsi="Calibri" w:eastAsia="Noto Sans S Chinese Regular" w:cs="Calibri"/>
        </w:rPr>
        <w:t>信息架构按调查问题组织，不按数据库表、统计方法或团队边界堆菜单。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60"/>
        <w:gridCol w:w="350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首要问题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期望动作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测试负责人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质量在改善还是样本变了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锁定 Cohort 并确认信号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发布负责人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本次发布是否引入持续回归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比较构建并绑定快照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研发负责人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影响范围与最早分叉在哪里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查看支持、反证与代表结果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平台/SRE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Infra、Evidence、Cleanup 是否恶化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建立守望或修复任务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用例治理者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哪些场景依赖重试或长期缺覆盖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创建补充与验证草案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产品负责人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高风险能力是否被可信验证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评审覆盖网与质量预算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05 / V1 BOUNDARY</w:t>
      </w:r>
    </w:p>
    <w:p>
      <w:pPr>
        <w:pStyle w:val="Heading1"/>
      </w:pPr>
      <w:r>
        <w:t>首期只做可信比较与可执行调查</w:t>
      </w:r>
    </w:p>
    <w:p>
      <w:r>
        <w:rPr>
          <w:rFonts w:ascii="Calibri" w:hAnsi="Calibri" w:eastAsia="Noto Sans S Chinese Regular" w:cs="Calibri"/>
        </w:rPr>
        <w:t>V1 要完成一个纵向闭环，而不是一次上线所有分析能力。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首个闭环  </w:t>
      </w:r>
      <w:r>
        <w:rPr>
          <w:rFonts w:ascii="Calibri" w:hAnsi="Calibri" w:eastAsia="Noto Sans S Chinese Regular" w:cs="Calibri"/>
          <w:color w:val="0B2545"/>
        </w:rPr>
        <w:t>客户权限：build-207 vs 208 → 分叉 → 证据/反例 → 12 Unit 验证任务草案。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V1 必须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明确延后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固定 MetricDefinition 集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任意公式与自然语言 BI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Cohort Builder + 维度锁定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三组以上自由比较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Quality Brief + Diff Loom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质量预测与自动因果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Stability Orbit + Signal Lab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自动隔离、自动修复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Pinned InsightSnapshot 深链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跨组织匿名基准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验证任务草案与人工审核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洞察直接触发执行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PostgreSQL V1；规模阈值评估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默认引入搜索与向量库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06 / SOURCE CONTRACT</w:t>
      </w:r>
    </w:p>
    <w:p>
      <w:pPr>
        <w:pStyle w:val="Heading1"/>
      </w:pPr>
      <w:r>
        <w:t>只消费已版本化、可追溯的结果事实</w:t>
      </w:r>
    </w:p>
    <w:p>
      <w:r>
        <w:rPr>
          <w:rFonts w:ascii="Calibri" w:hAnsi="Calibri" w:eastAsia="Noto Sans S Chinese Regular" w:cs="Calibri"/>
        </w:rPr>
        <w:t>洞察只读稳定 Revision；页面颜色、Temporal Visibility 与对象存储扫描都不是事实源。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权威  </w:t>
      </w:r>
      <w:r>
        <w:rPr>
          <w:rFonts w:ascii="Calibri" w:hAnsi="Calibri" w:eastAsia="Noto Sans S Chinese Regular" w:cs="Calibri"/>
          <w:color w:val="0B2545"/>
        </w:rPr>
        <w:t>PostgreSQL 仍拥有单次结果事实；洞察投影、缓存和未来 ClickHouse 均不得反写。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400"/>
        <w:gridCol w:w="4160"/>
      </w:tblGrid>
      <w:tr>
        <w:trPr>
          <w:tblHeader w:val="true"/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来源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默认 Finality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TaskResultSnapshot</w:t>
            </w:r>
          </w:p>
        </w:tc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QUALITY_FINAL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Verdict、Gate 上下文与 Manifest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HygieneProjection</w:t>
            </w:r>
          </w:p>
        </w:tc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FULLY_RESOLVED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Cleanup、Leak 与清理时延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EvidenceAvailabilityRevision</w:t>
            </w:r>
          </w:p>
        </w:tc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按指标策略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完整性、可信性与保留状态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FlakyEvaluation</w:t>
            </w:r>
          </w:p>
        </w:tc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已版本化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跨 Run 稳定性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FailureClassification</w:t>
            </w:r>
          </w:p>
        </w:tc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规则/人工 Revision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失败域、Code 与候选原因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FailureCluster</w:t>
            </w:r>
          </w:p>
        </w:tc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明确 Revision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Issue lineage 与复发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Dimension Snapshot</w:t>
            </w:r>
          </w:p>
        </w:tc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AS_CAPTURED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角色、构建、环境与资产版本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07 / DOMAIN MODEL</w:t>
      </w:r>
    </w:p>
    <w:p>
      <w:pPr>
        <w:pStyle w:val="Heading1"/>
      </w:pPr>
      <w:r>
        <w:t>四层模型：事实、语义、快照、治理</w:t>
      </w:r>
    </w:p>
    <w:p>
      <w:r>
        <w:rPr>
          <w:rFonts w:ascii="Calibri" w:hAnsi="Calibri" w:eastAsia="Noto Sans S Chinese Regular" w:cs="Calibri"/>
        </w:rPr>
        <w:t>洞察对象不复制一套 Run，而是在结果事实之上保存计算合同、输入切片与判断 Revision。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MetricDefinition 是业务语义合同，不是一段自由 SQL。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DatasetCut 固定输入事实、watermark、查询与授权范围摘要。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MetricSnapshot 固定一个指标点；InsightSnapshot 固定一次可分享质量叙事。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Signal 与 Investigation 分离：机器观察、人工判断和外部行动各自追加。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Result facts (immutable revisions)</w:t>
        <w:br/>
        <w:t xml:space="preserve">        ↓</w:t>
        <w:br/>
        <w:t>MetricDefinition + DimensionContract + Cohort + Window + Baseline</w:t>
        <w:br/>
        <w:t xml:space="preserve">        ↓</w:t>
        <w:br/>
        <w:t>DatasetCut → MetricSnapshot → InsightSnapshot</w:t>
        <w:br/>
        <w:t xml:space="preserve">        ↓</w:t>
        <w:br/>
        <w:t>QualitySignalRevision → Investigation → ValidationTaskProposal</w:t>
        <w:br/>
        <w:t xml:space="preserve">                             └→ QualityBudgetSnapshot</w:t>
      </w:r>
    </w:p>
    <w:p>
      <w:r>
        <w:br w:type="page"/>
      </w:r>
    </w:p>
    <w:p>
      <w:pPr>
        <w:pStyle w:val="Kicker"/>
        <w:keepNext/>
      </w:pPr>
      <w:r>
        <w:t>08 / METRIC CONTRACT</w:t>
      </w:r>
    </w:p>
    <w:p>
      <w:pPr>
        <w:pStyle w:val="Heading1"/>
      </w:pPr>
      <w:r>
        <w:t>MetricDefinition：指标必须能被复算和审计</w:t>
      </w:r>
    </w:p>
    <w:p>
      <w:r>
        <w:rPr>
          <w:rFonts w:ascii="Calibri" w:hAnsi="Calibri" w:eastAsia="Noto Sans S Chinese Regular" w:cs="Calibri"/>
        </w:rPr>
        <w:t>同名指标只要分母、Finality、Null 或可切分维度改变，就必须发布新的语义版本。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发布规则  </w:t>
      </w:r>
      <w:r>
        <w:rPr>
          <w:rFonts w:ascii="Calibri" w:hAnsi="Calibri" w:eastAsia="Noto Sans S Chinese Regular" w:cs="Calibri"/>
          <w:color w:val="0B2545"/>
        </w:rPr>
        <w:t>V1 只提供平台签发的固定指标；自定义指标进入 V2 审核与版本发布流程。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必填：grain、numerator、population、aggregation、eventTime、Finality 与 allowedDimensions。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分母为 0 返回 value=null + NO_DATA，不返回 0% 或 100%。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所有排除项保存稳定 Reason Code；不允许只保存最终 denominator。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跨窗口聚合重新求和 numerator/denominator，禁止平均百分比。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"metricKey": "quality.autonomous_trusted_pass_rate",</w:t>
        <w:br/>
        <w:t xml:space="preserve">  "version": "1.0.0",</w:t>
        <w:br/>
        <w:t xml:space="preserve">  "grain": "UNIT",</w:t>
        <w:br/>
        <w:t xml:space="preserve">  "population": "MANIFEST_UNITS",</w:t>
        <w:br/>
        <w:t xml:space="preserve">  "aggregation": "RATIO_OF_SUMS",</w:t>
        <w:br/>
        <w:t xml:space="preserve">  "sourceFinality": "QUALITY_FINAL",</w:t>
        <w:br/>
        <w:t xml:space="preserve">  "minimumSample": 30,</w:t>
        <w:br/>
        <w:t xml:space="preserve">  "confidence": {</w:t>
        <w:br/>
        <w:t xml:space="preserve">    "method": "WILSON",</w:t>
        <w:br/>
        <w:t xml:space="preserve">    "level": 0.95</w:t>
        <w:br/>
        <w:t xml:space="preserve">  },</w:t>
        <w:br/>
        <w:t xml:space="preserve">  "lateDataPolicy": "APPEND_RESTATEMENT"</w:t>
        <w:br/>
        <w:t>}</w:t>
      </w:r>
    </w:p>
    <w:p>
      <w:r>
        <w:br w:type="page"/>
      </w:r>
    </w:p>
    <w:p>
      <w:pPr>
        <w:pStyle w:val="Kicker"/>
        <w:keepNext/>
      </w:pPr>
      <w:r>
        <w:t>09 / DIMENSION CONTRACT</w:t>
      </w:r>
    </w:p>
    <w:p>
      <w:pPr>
        <w:pStyle w:val="Heading1"/>
      </w:pPr>
      <w:r>
        <w:t>维度不是自由标签，而是版本化合同</w:t>
      </w:r>
    </w:p>
    <w:p>
      <w:r>
        <w:rPr>
          <w:rFonts w:ascii="Calibri" w:hAnsi="Calibri" w:eastAsia="Noto Sans S Chinese Regular" w:cs="Calibri"/>
        </w:rPr>
        <w:t>维度必须有稳定 ID、语义、基数、敏感级别与历史解释方式，避免今天的名称重写过去。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基数预算  </w:t>
      </w:r>
      <w:r>
        <w:rPr>
          <w:rFonts w:ascii="Calibri" w:hAnsi="Calibri" w:eastAsia="Noto Sans S Chinese Regular" w:cs="Calibri"/>
          <w:color w:val="0B2545"/>
        </w:rPr>
        <w:t>未声明维度不能临时加入 Cube 后仍沿用原指标名；高基数自由文本不得入维。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维度组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示例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约束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业务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feature / logicalCase / risk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保存 AS_CAPTURED 与兼容版本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发布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build / commit / branch / release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Build 可作为比较处理变量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运行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 / viewport / environment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按兼容族或精确 Revision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身份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role / identityProfileVersion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只保存脱敏 Key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数据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fixture / dataProfile / variant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禁止客户名与追踪 ID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policy / modelConfig / oracle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内容摘要固定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结果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failure / stability / evidence / hygiene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来自版本化投影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10 / COHORT</w:t>
      </w:r>
    </w:p>
    <w:p>
      <w:pPr>
        <w:pStyle w:val="Heading1"/>
      </w:pPr>
      <w:r>
        <w:t>Cohort 是研究对象，不是临时 Filter</w:t>
      </w:r>
    </w:p>
    <w:p>
      <w:r>
        <w:rPr>
          <w:rFonts w:ascii="Calibri" w:hAnsi="Calibri" w:eastAsia="Noto Sans S Chinese Regular" w:cs="Calibri"/>
        </w:rPr>
        <w:t>可分享或进入 Signal 的比较必须引用 CohortDefinitionVersion，并保存实际成员摘要。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保存纳入、排除、Unknown 数量与 membershipSetDigest。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默认使用 AS_CAPTURED；AS_CURRENT 仅用于当前组织视图并明确标识。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结构化 Query Chips 始终可见、可改、可复制；自然语言只生成候选条件。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高风险比较先锁定其余维度，用户逐个释放并看到可比性下降原因。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"cohortKey": "customer-permission-sales",</w:t>
        <w:br/>
        <w:t xml:space="preserve">  "version": 3,</w:t>
        <w:br/>
        <w:t xml:space="preserve">  "grain": "UNIT",</w:t>
        <w:br/>
        <w:t xml:space="preserve">  "predicate": {</w:t>
        <w:br/>
        <w:t xml:space="preserve">    "feature": "customer-filter",</w:t>
        <w:br/>
        <w:t xml:space="preserve">    "role": "sales"</w:t>
        <w:br/>
        <w:t xml:space="preserve">  },</w:t>
        <w:br/>
        <w:t xml:space="preserve">  "dimensionMode": "AS_CAPTURED",</w:t>
        <w:br/>
        <w:t xml:space="preserve">  "locks": [</w:t>
        <w:br/>
        <w:t xml:space="preserve">    "oracle",</w:t>
        <w:br/>
        <w:t xml:space="preserve">    "fixture",</w:t>
        <w:br/>
        <w:t xml:space="preserve">    "browser",</w:t>
        <w:br/>
        <w:t xml:space="preserve">    "environment",</w:t>
        <w:br/>
        <w:t xml:space="preserve">    "agentPolicy"</w:t>
        <w:br/>
        <w:t xml:space="preserve">  ],</w:t>
        <w:br/>
        <w:t xml:space="preserve">  "membershipMode": "MATERIALIZED"</w:t>
        <w:br/>
        <w:t>}</w:t>
      </w:r>
    </w:p>
    <w:p>
      <w:r>
        <w:br w:type="page"/>
      </w:r>
    </w:p>
    <w:p>
      <w:pPr>
        <w:pStyle w:val="Kicker"/>
        <w:keepNext/>
      </w:pPr>
      <w:r>
        <w:t>11 / COMPARABILITY</w:t>
      </w:r>
    </w:p>
    <w:p>
      <w:pPr>
        <w:pStyle w:val="Heading1"/>
      </w:pPr>
      <w:r>
        <w:t>两类可比键解决两个不同问题</w:t>
      </w:r>
    </w:p>
    <w:p>
      <w:r>
        <w:rPr>
          <w:rFonts w:ascii="Calibri" w:hAnsi="Calibri" w:eastAsia="Noto Sans S Chinese Regular" w:cs="Calibri"/>
        </w:rPr>
        <w:t>把所有比较塞进一个 comparabilityKey，会让 Build 既被锁死又被拿来判断回归，逻辑自相矛盾。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双分母  </w:t>
      </w:r>
      <w:r>
        <w:rPr>
          <w:rFonts w:ascii="Calibri" w:hAnsi="Calibri" w:eastAsia="Noto Sans S Chinese Regular" w:cs="Calibri"/>
          <w:color w:val="0B2545"/>
        </w:rPr>
        <w:t>匹配后指标与原始业务分母必须同时展示，防止删掉不可比样本后趋势看起来更好。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500"/>
        <w:gridCol w:w="2200"/>
        <w:gridCol w:w="2460"/>
      </w:tblGrid>
      <w:tr>
        <w:trPr>
          <w:tblHeader w:val="true"/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合同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包含 testedBuild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用于</w:t>
            </w:r>
          </w:p>
        </w:tc>
        <w:tc>
          <w:tcPr>
            <w:tcW w:type="dxa" w:w="24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关键规则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executionComparabilityKey</w:t>
            </w:r>
          </w:p>
        </w:tc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Retry、Flaky、重复性</w:t>
            </w:r>
          </w:p>
        </w:tc>
        <w:tc>
          <w:tcPr>
            <w:tcW w:type="dxa" w:w="2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执行条件必须等价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releaseComparisonKey</w:t>
            </w:r>
          </w:p>
        </w:tc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否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构建/发布回归</w:t>
            </w:r>
          </w:p>
        </w:tc>
        <w:tc>
          <w:tcPr>
            <w:tcW w:type="dxa" w:w="2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Build 是处理变量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metricCompatibilityVersion</w:t>
            </w:r>
          </w:p>
        </w:tc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显式映射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跨 Case/Oracle/Fixture 版本</w:t>
            </w:r>
          </w:p>
        </w:tc>
        <w:tc>
          <w:tcPr>
            <w:tcW w:type="dxa" w:w="2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资产发布者声明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comparabilityCoverage = matchedCurrentUnits / currentPopulation</w:t>
        <w:br/>
        <w:t>if coverage &lt; 0.80 → DATA_GAP，禁止发布强回归结论</w:t>
      </w:r>
    </w:p>
    <w:p>
      <w:r>
        <w:br w:type="page"/>
      </w:r>
    </w:p>
    <w:p>
      <w:pPr>
        <w:pStyle w:val="Kicker"/>
        <w:keepNext/>
      </w:pPr>
      <w:r>
        <w:t>12 / WINDOW &amp; BASELINE</w:t>
      </w:r>
    </w:p>
    <w:p>
      <w:pPr>
        <w:pStyle w:val="Heading1"/>
      </w:pPr>
      <w:r>
        <w:t>Window 与 Baseline 都必须被物化</w:t>
      </w:r>
    </w:p>
    <w:p>
      <w:r>
        <w:rPr>
          <w:rFonts w:ascii="Calibri" w:hAnsi="Calibri" w:eastAsia="Noto Sans S Chinese Regular" w:cs="Calibri"/>
        </w:rPr>
        <w:t>同一句‘比上周下降’只有在窗口、时区、样本和基线固定后才可复现。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默认  </w:t>
      </w:r>
      <w:r>
        <w:rPr>
          <w:rFonts w:ascii="Calibri" w:hAnsi="Calibri" w:eastAsia="Noto Sans S Chinese Regular" w:cs="Calibri"/>
          <w:color w:val="0B2545"/>
        </w:rPr>
        <w:t>不规则批量任务优先使用 RUN_COUNT；Calendar Window 同时显示 Run 数和 Unit 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400"/>
        <w:gridCol w:w="336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3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适用场景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冻结内容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PINNED_RELEASE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与已知良好发布比较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Release + Snapshot 集合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PINNED_RUN_SET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受控回归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明确 TaskRun/ResultSnapshot ID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MATCHED_COHORT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构建、角色、环境 A/B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逐 Unit 匹配与覆盖率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ROLLING_STABLE_RUNS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高频但不规则任务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实际 N 个可比 Run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PREVIOUS_WINDOW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稳定定时任务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长度、时区与迟到策略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CONTROL_BRANCH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分支比较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Branch 为处理维度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13 / TIME SEMANTICS</w:t>
      </w:r>
    </w:p>
    <w:p>
      <w:pPr>
        <w:pStyle w:val="Heading1"/>
      </w:pPr>
      <w:r>
        <w:t>事件时间、处理时间、快照时间不能混用</w:t>
      </w:r>
    </w:p>
    <w:p>
      <w:r>
        <w:rPr>
          <w:rFonts w:ascii="Calibri" w:hAnsi="Calibri" w:eastAsia="Noto Sans S Chinese Regular" w:cs="Calibri"/>
        </w:rPr>
        <w:t>按 ingestion time 归窗会把迟到结果伪装成今天的质量变化，因此时间轴必须进入指标合同。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Unit 质量使用 qualityFinalizedAt；UnitAttempt Runtime 使用 sealedAt。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Evidence、Hygiene 与 Classification 使用各自 resolvedAt/createdAt，不伪装成当时已知。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存储统一 UTC；Calendar Window 明确 IANA 时区与 DST 规则。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800"/>
        <w:gridCol w:w="3560"/>
      </w:tblGrid>
      <w:tr>
        <w:trPr>
          <w:tblHeader w:val="true"/>
          <w:cantSplit/>
        </w:trPr>
        <w:tc>
          <w:tcPr>
            <w:tcW w:type="dxa" w:w="2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默认用途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eventTime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事实发生或轴闭合时间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Window 与趋势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processingTime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管道接收时间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新鲜度与延迟监控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snapshotTime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指标快照创建时间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审计与 Revision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asOfTime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查询可见事实截止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Pinned 结果复现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14 / DATASET CUT</w:t>
      </w:r>
    </w:p>
    <w:p>
      <w:pPr>
        <w:pStyle w:val="Heading1"/>
      </w:pPr>
      <w:r>
        <w:t>DatasetCut：洞察可复现的最小证据包</w:t>
      </w:r>
    </w:p>
    <w:p>
      <w:r>
        <w:rPr>
          <w:rFonts w:ascii="Calibri" w:hAnsi="Calibri" w:eastAsia="Noto Sans S Chinese Regular" w:cs="Calibri"/>
        </w:rPr>
        <w:t>任何可分享的 InsightSnapshot 都绑定固定输入集合与计算合同；latest 只适合个人工作台。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sourceSetDigest 使用规范化序列化；相同事实集合必须产生相同摘要。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保存各来源 watermark、Finality、metric/cohort/baseline 版本与 queryHash。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authScopeHash 进入缓存键，防止不同权限复用同一分析响应。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审计深链使用 snapshotId，不使用会随迟到事实变化的 latest。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"datasetCutId": "cut_01J...",</w:t>
        <w:br/>
        <w:t xml:space="preserve">  "asOf": "2026-07-12T00:00:00Z",</w:t>
        <w:br/>
        <w:t xml:space="preserve">  "sourceSetDigest": "sha256:...",</w:t>
        <w:br/>
        <w:t xml:space="preserve">  "resultSnapshotCount": 42,</w:t>
        <w:br/>
        <w:t xml:space="preserve">  "sourceWatermarks": {</w:t>
        <w:br/>
        <w:t xml:space="preserve">    "result": "evt_9031",</w:t>
        <w:br/>
        <w:t xml:space="preserve">    "hygiene": "evt_8810",</w:t>
        <w:br/>
        <w:t xml:space="preserve">    "flaky": "evt_7742"</w:t>
        <w:br/>
        <w:t xml:space="preserve">  },</w:t>
        <w:br/>
        <w:t xml:space="preserve">  "metricVersion": "1.0.0",</w:t>
        <w:br/>
        <w:t xml:space="preserve">  "cohortVersion": 3,</w:t>
        <w:br/>
        <w:t xml:space="preserve">  "authScopeHash": "sha256:..."</w:t>
        <w:br/>
        <w:t>}</w:t>
      </w:r>
    </w:p>
    <w:p>
      <w:r>
        <w:br w:type="page"/>
      </w:r>
    </w:p>
    <w:p>
      <w:pPr>
        <w:pStyle w:val="Kicker"/>
        <w:keepNext/>
      </w:pPr>
      <w:r>
        <w:t>15 / METRIC MAP</w:t>
      </w:r>
    </w:p>
    <w:p>
      <w:pPr>
        <w:pStyle w:val="Heading1"/>
      </w:pPr>
      <w:r>
        <w:t>首期指标集：少量、正交、可解释</w:t>
      </w:r>
    </w:p>
    <w:p>
      <w:r>
        <w:rPr>
          <w:rFonts w:ascii="Calibri" w:hAnsi="Calibri" w:eastAsia="Noto Sans S Chinese Regular" w:cs="Calibri"/>
        </w:rPr>
        <w:t>V1 不提供一个黑盒质量总分；每个轴回答不同问题，并允许用户看到真实分子与分母。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540"/>
        <w:gridCol w:w="3220"/>
      </w:tblGrid>
      <w:tr>
        <w:trPr>
          <w:tblHeader w:val="true"/>
          <w:cantSplit/>
        </w:trPr>
        <w:tc>
          <w:tcPr>
            <w:tcW w:type="dxa" w:w="1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指标族</w:t>
            </w:r>
          </w:p>
        </w:tc>
        <w:tc>
          <w:tcPr>
            <w:tcW w:type="dxa" w:w="45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核心指标</w:t>
            </w:r>
          </w:p>
        </w:tc>
        <w:tc>
          <w:tcPr>
            <w:tcW w:type="dxa" w:w="32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默认 Grain / Population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通过</w:t>
            </w:r>
          </w:p>
        </w:tc>
        <w:tc>
          <w:tcPr>
            <w:tcW w:type="dxa" w:w="4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raw / trusted / autonomous trusted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UNIT / MANIFEST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产出</w:t>
            </w:r>
          </w:p>
        </w:tc>
        <w:tc>
          <w:tcPr>
            <w:tcW w:type="dxa" w:w="4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firstPassYield / decisivePassRate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UNIT / MANIFEST 或 DECISIVE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稳定性</w:t>
            </w:r>
          </w:p>
        </w:tc>
        <w:tc>
          <w:tcPr>
            <w:tcW w:type="dxa" w:w="4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flaky suspect/confirmed / retry affected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UNIT / COMPARABLE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基础设施</w:t>
            </w:r>
          </w:p>
        </w:tc>
        <w:tc>
          <w:tcPr>
            <w:tcW w:type="dxa" w:w="4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infra affected / terminal / recovered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EXECUTION UNIT 与 UNITATTEMPT 分开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人工</w:t>
            </w:r>
          </w:p>
        </w:tc>
        <w:tc>
          <w:tcPr>
            <w:tcW w:type="dxa" w:w="4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manual assisted / manual only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UNIT / RESOLVED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证据</w:t>
            </w:r>
          </w:p>
        </w:tc>
        <w:tc>
          <w:tcPr>
            <w:tcW w:type="dxa" w:w="4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seal / completeness / integrity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REQUIRED_EVIDENCE_SET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卫生</w:t>
            </w:r>
          </w:p>
        </w:tc>
        <w:tc>
          <w:tcPr>
            <w:tcW w:type="dxa" w:w="4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cleanup failure / leak / latency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CLEANUP_OBLIGATION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覆盖</w:t>
            </w:r>
          </w:p>
        </w:tc>
        <w:tc>
          <w:tcPr>
            <w:tcW w:type="dxa" w:w="4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trusted coverage matrix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REQUIRED_CELL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效率</w:t>
            </w:r>
          </w:p>
        </w:tc>
        <w:tc>
          <w:tcPr>
            <w:tcW w:type="dxa" w:w="4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cost per trusted verdict / rerun tax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COST / TRUSTED UNIT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16 / PASS SEMANTICS</w:t>
      </w:r>
    </w:p>
    <w:p>
      <w:pPr>
        <w:pStyle w:val="Heading1"/>
      </w:pPr>
      <w:r>
        <w:t>通过率必须同时说明信任与分母</w:t>
      </w:r>
    </w:p>
    <w:p>
      <w:r>
        <w:rPr>
          <w:rFonts w:ascii="Calibri" w:hAnsi="Calibri" w:eastAsia="Noto Sans S Chinese Regular" w:cs="Calibri"/>
        </w:rPr>
        <w:t>不同通过率服务不同问题，不能选择一个更好看的百分比代替发布质量。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守恒  </w:t>
      </w:r>
      <w:r>
        <w:rPr>
          <w:rFonts w:ascii="Calibri" w:hAnsi="Calibri" w:eastAsia="Noto Sans S Chinese Regular" w:cs="Calibri"/>
          <w:color w:val="0B2545"/>
        </w:rPr>
        <w:t>manifest = passed + failed + inconclusive + notEvaluated；Retry 不改变 manifest。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closureReason 为 BLOCKED/CANCELED 的 Unit，以及 INCONCLUSIVE/NOT_EVALUATED，均不从 Manifest 静默消失。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Decisive Pass 必须同时显示被排除的非决定性 Unit 数量。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MANUAL_ASSISTED 的 PASSED 不进入 autonomousTrustedPassRate。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跨 Run 总值使用 Σnumerator / Σdenominator；每个 Run 的百分比不等权。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rawPassRate = count(PASSED) / count(MANIFEST_UNITS)</w:t>
        <w:br/>
        <w:t>trustedPassRate =</w:t>
        <w:br/>
        <w:t xml:space="preserve">  count(PASSED AND COMPLETE AND VERIFIED) / count(MANIFEST_UNITS)</w:t>
        <w:br/>
        <w:t>autonomousTrustedPassRate =</w:t>
        <w:br/>
        <w:t xml:space="preserve">  count(trustedPass AND AUTONOMOUS) / count(MANIFEST_UNITS)</w:t>
        <w:br/>
        <w:t>decisivePassRate = count(PASSED) / count(PASSED OR FAILED)  // diagnostic only</w:t>
        <w:br/>
        <w:t>firstPassYield = count(firstAttemptTrustedPass) / count(MANIFEST_UNITS)</w:t>
      </w:r>
    </w:p>
    <w:p>
      <w:r>
        <w:br w:type="page"/>
      </w:r>
    </w:p>
    <w:p>
      <w:pPr>
        <w:pStyle w:val="Kicker"/>
        <w:keepNext/>
      </w:pPr>
      <w:r>
        <w:t>17 / STABILITY</w:t>
      </w:r>
    </w:p>
    <w:p>
      <w:pPr>
        <w:pStyle w:val="Heading1"/>
      </w:pPr>
      <w:r>
        <w:t>Flaky、重试和基础设施恢复必须分轴</w:t>
      </w:r>
    </w:p>
    <w:p>
      <w:r>
        <w:rPr>
          <w:rFonts w:ascii="Calibri" w:hAnsi="Calibri" w:eastAsia="Noto Sans S Chinese Regular" w:cs="Calibri"/>
        </w:rPr>
        <w:t>长期稳定性只消费版本化 FlakyEvaluation，不能从最后一次绿色结果或 UnitAttempt 数临时推断。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可比  </w:t>
      </w:r>
      <w:r>
        <w:rPr>
          <w:rFonts w:ascii="Calibri" w:hAnsi="Calibri" w:eastAsia="Noto Sans S Chinese Regular" w:cs="Calibri"/>
          <w:color w:val="0B2545"/>
        </w:rPr>
        <w:t>Flaky 使用包含 testedBuild 的 executionComparabilityKey；跨 Build 结果不混入。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3000"/>
        <w:gridCol w:w="3460"/>
      </w:tblGrid>
      <w:tr>
        <w:trPr>
          <w:tblHeader w:val="true"/>
          <w:cantSplit/>
        </w:trPr>
        <w:tc>
          <w:tcPr>
            <w:tcW w:type="dxa" w:w="2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指标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分子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分母 / 约束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retryAffectedUnitRate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totalAttempts &gt; 1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MANIFEST_UNITS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attemptAmplification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UNIT_ATTEMPTS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STARTED_UNITS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flakySuspectUnitRate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FLAKY_SUSPECT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COMPARABLE_RESOLVED_UNITS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flakyConfirmedUnitRate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FLAKY_CONFIRMED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COMPARABLE_RESOLVED_UNITS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infraRecoveredUnitRate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INFRA_RECOVERED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MANIFEST_UNITS；非 Flaky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persistentFailureRate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同指纹持续 FAILED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COMPARABLE_RESOLVED_UNITS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18 / TRUST DEBT</w:t>
      </w:r>
    </w:p>
    <w:p>
      <w:pPr>
        <w:pStyle w:val="Heading1"/>
      </w:pPr>
      <w:r>
        <w:t>绿色也可能隐藏证据、人工与卫生债务</w:t>
      </w:r>
    </w:p>
    <w:p>
      <w:r>
        <w:rPr>
          <w:rFonts w:ascii="Calibri" w:hAnsi="Calibri" w:eastAsia="Noto Sans S Chinese Regular" w:cs="Calibri"/>
        </w:rPr>
        <w:t>洞察必须把业务 Verdict 与运行信任分开，否则重试、接管和证据降级会被最终通过洗平。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EvidenceCompleteness 与 EvidenceIntegrity 独立；齐全不等于可信。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Cleanup 趋势默认等待 FULLY_RESOLVED，不能用 Quality Final 冒充卫生闭合。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AI 分类置信度不是业务质量置信度，Unknown 必须保留。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债务轴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推荐指标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不可混入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Evidence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missing / partial / invalid / revoked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Product failure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Autonomy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manualAssisted / manualOnly / autonomyGap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pass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Infrastructure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affected / terminal / recovered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Business Flaky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Hygiene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cleanupFailed / leaked / cleanupP95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Verdict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Classification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unknown / disputed / evidence coverage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Root cause fact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19 / TRUSTED COVERAGE</w:t>
      </w:r>
    </w:p>
    <w:p>
      <w:pPr>
        <w:pStyle w:val="Heading1"/>
      </w:pPr>
      <w:r>
        <w:t>可信覆盖网：不是用例数量，而是必需单元格</w:t>
      </w:r>
    </w:p>
    <w:p>
      <w:r>
        <w:rPr>
          <w:rFonts w:ascii="Calibri" w:hAnsi="Calibri" w:eastAsia="Noto Sans S Chinese Regular" w:cs="Calibri"/>
        </w:rPr>
        <w:t>覆盖来自必需的业务能力 × 角色 × 数据边界 × 环境单元；执行一次不等于可信验证。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防误读  </w:t>
      </w:r>
      <w:r>
        <w:rPr>
          <w:rFonts w:ascii="Calibri" w:hAnsi="Calibri" w:eastAsia="Noto Sans S Chinese Regular" w:cs="Calibri"/>
          <w:color w:val="0B2545"/>
        </w:rPr>
        <w:t>总体覆盖提升若来自低风险单元，不得掩盖 Critical Cell 长期缺失。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状态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表达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TRUSTED_PASS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实线纤维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可信自主通过；计入覆盖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TRUSTED_FAIL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红色断裂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可信自主失败；计入覆盖但质量失败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UNTRUSTED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斜纹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证据或人工影响不满足策略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MISSING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空洞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窗口内没有合格结果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NOT_REQUIRED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留白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规格明确不要求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requiredCell = feature × role × dataVariant × environmentClass</w:t>
        <w:br/>
        <w:t>verifiedCell = at least one decisive AND COMPLETE AND VERIFIED AND AUTONOMOUS result</w:t>
        <w:br/>
        <w:t>coverageConfidence = Σ verifiedCell.weight / Σ requiredCell.weight</w:t>
        <w:br/>
        <w:t>displayPriority = TRUSTED_FAIL &gt; TRUSTED_PASS &gt; UNTRUSTED &gt; MISSING</w:t>
      </w:r>
    </w:p>
    <w:p>
      <w:r>
        <w:br w:type="page"/>
      </w:r>
    </w:p>
    <w:p>
      <w:pPr>
        <w:pStyle w:val="Kicker"/>
        <w:keepNext/>
      </w:pPr>
      <w:r>
        <w:t>20 / COST &amp; SPEED</w:t>
      </w:r>
    </w:p>
    <w:p>
      <w:pPr>
        <w:pStyle w:val="Heading1"/>
      </w:pPr>
      <w:r>
        <w:t>效率指标必须以可信结论为产出</w:t>
      </w:r>
    </w:p>
    <w:p>
      <w:r>
        <w:rPr>
          <w:rFonts w:ascii="Calibri" w:hAnsi="Calibri" w:eastAsia="Noto Sans S Chinese Regular" w:cs="Calibri"/>
        </w:rPr>
        <w:t>只看平均执行时长会奖励少跑、跳过或证据降级；成本必须和可信业务结果关联。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成本来源  </w:t>
      </w:r>
      <w:r>
        <w:rPr>
          <w:rFonts w:ascii="Calibri" w:hAnsi="Calibri" w:eastAsia="Noto Sans S Chinese Regular" w:cs="Calibri"/>
          <w:color w:val="0B2545"/>
        </w:rPr>
        <w:t>Agent、Browser、API、存储与重试成本分开保存；估算值标识定价版本和币种。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900"/>
        <w:gridCol w:w="2760"/>
      </w:tblGrid>
      <w:tr>
        <w:trPr>
          <w:tblHeader w:val="true"/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指标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公式 / 统计量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解读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costPerTrustedVerdict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total execution cost / trusted decisive Units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单位可信结论成本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rerunTax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extra UnitAttempt cost / total execution cost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重试吞噬比例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timeToTrustedSignal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Run start → QUALITY_FINAL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得到可信结论的速度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timeToResolution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Signal open → resolved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治理闭环速度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computeFreshness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now - source watermark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洞察新鲜度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runtimeP50/P95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按可比 Cohort 分位数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不平均长尾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21 / QUALITY OBJECTIVE</w:t>
      </w:r>
    </w:p>
    <w:p>
      <w:pPr>
        <w:pStyle w:val="Heading1"/>
      </w:pPr>
      <w:r>
        <w:t>质量目标与预算是独立轴，不是健康总分</w:t>
      </w:r>
    </w:p>
    <w:p>
      <w:r>
        <w:rPr>
          <w:rFonts w:ascii="Calibri" w:hAnsi="Calibri" w:eastAsia="Noto Sans S Chinese Regular" w:cs="Calibri"/>
        </w:rPr>
        <w:t>QualitySLOVersion 冻结指标、Cohort、Window、目标、样本与 Finality；评估按 Revision 保存。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安全边界  </w:t>
      </w:r>
      <w:r>
        <w:rPr>
          <w:rFonts w:ascii="Calibri" w:hAnsi="Calibri" w:eastAsia="Noto Sans S Chinese Regular" w:cs="Calibri"/>
          <w:color w:val="0B2545"/>
        </w:rPr>
        <w:t>SLO Breach 可能是历史债务，不等于当前构建失败；洞察卡也不能直接修改 Gate。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Autonomous Trusted Pass、Infra、Flaky、Evidence、Cleanup 与 Manual 各自设目标。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Zero Tolerance 出现事件即 Breach；Burn Rate 返回 NOT_APPLICABLE，不显示 Infinity。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不规则任务用最近 3 / 20 个可比 Run；稳定任务可用短/长时间双窗口。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Gate 如需长期预算，必须显式绑定 qualityBudgetSnapshotId 与策略版本。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MIN_RATIO target=t</w:t>
        <w:br/>
        <w:t>allowedBad = denominator × (1 - t)</w:t>
        <w:br/>
        <w:t>consumedBad = denominator - numerator</w:t>
        <w:br/>
        <w:t>remainingBudget = allowedBad - consumedBad</w:t>
        <w:br/>
        <w:t>budgetConsumedRatio = consumedBad / allowedBad</w:t>
      </w:r>
    </w:p>
    <w:p>
      <w:r>
        <w:br w:type="page"/>
      </w:r>
    </w:p>
    <w:p>
      <w:pPr>
        <w:pStyle w:val="Kicker"/>
        <w:keepNext/>
      </w:pPr>
      <w:r>
        <w:t>22 / STATISTICAL LADDER</w:t>
      </w:r>
    </w:p>
    <w:p>
      <w:pPr>
        <w:pStyle w:val="Heading1"/>
      </w:pPr>
      <w:r>
        <w:t>先校验数据，再讨论异常</w:t>
      </w:r>
    </w:p>
    <w:p>
      <w:r>
        <w:rPr>
          <w:rFonts w:ascii="Calibri" w:hAnsi="Calibri" w:eastAsia="Noto Sans S Chinese Regular" w:cs="Calibri"/>
        </w:rPr>
        <w:t>统计方法不能修复不可比、缺失或未最终化的数据；Signal Engine 必须按固定顺序 fail closed。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原则  </w:t>
      </w:r>
      <w:r>
        <w:rPr>
          <w:rFonts w:ascii="Calibri" w:hAnsi="Calibri" w:eastAsia="Noto Sans S Chinese Regular" w:cs="Calibri"/>
          <w:color w:val="0B2545"/>
        </w:rPr>
        <w:t>统计显著不等于业务重要；业务重要也不能绕过证据与可比事实。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校验 Finality、watermark、重复与数量守恒。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校验 Cohort、releaseComparisonKey 与 comparabilityCoverage。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公开 numerator、denominator、排除、Run 数与缺失量。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计算绝对效应与业务最小效应门槛。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计算区间、样本充足性与多重比较修正。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要求持续性或独立复现，再形成 QualitySignal Candidate。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将支持、反证、缺口与算法版本封存进 Revision。</w:t>
      </w:r>
    </w:p>
    <w:p>
      <w:r>
        <w:br w:type="page"/>
      </w:r>
    </w:p>
    <w:p>
      <w:pPr>
        <w:pStyle w:val="Kicker"/>
        <w:keepNext/>
      </w:pPr>
      <w:r>
        <w:t>23 / UNCERTAINTY</w:t>
      </w:r>
    </w:p>
    <w:p>
      <w:pPr>
        <w:pStyle w:val="Heading1"/>
      </w:pPr>
      <w:r>
        <w:t>效应量、区间和样本量必须同时显示</w:t>
      </w:r>
    </w:p>
    <w:p>
      <w:r>
        <w:rPr>
          <w:rFonts w:ascii="Calibri" w:hAnsi="Calibri" w:eastAsia="Noto Sans S Chinese Regular" w:cs="Calibri"/>
        </w:rPr>
        <w:t>单一 High/Medium/Low 会掩盖数据质量；UI 可以摘要，但必须展开原始置信账本。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200"/>
        <w:gridCol w:w="3160"/>
      </w:tblGrid>
      <w:tr>
        <w:trPr>
          <w:tblHeader w:val="true"/>
          <w:cantSplit/>
        </w:trPr>
        <w:tc>
          <w:tcPr>
            <w:tcW w:type="dxa" w:w="2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组成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默认方法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比率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Wilson 95% Interval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value + lower/upper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两比率差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Newcombe-Wilson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absolute delta CI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时长/成本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Median + MAD；必要时 Bootstrap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分位数与误差带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样本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MetricDefinition minimumSample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ENOUGH / LOW / NONE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可比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matched / current population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coverage + unmatched reasons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来源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Finality + Evidence trust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VERIFIED / DEGRADED / INVALID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publish only if n≥minimumSample AND coverage≥minimumCoverage</w:t>
        <w:br/>
        <w:t>AND |delta|≥minimumEffect AND sourceTrust=VERIFIED</w:t>
      </w:r>
    </w:p>
    <w:p>
      <w:r>
        <w:br w:type="page"/>
      </w:r>
    </w:p>
    <w:p>
      <w:pPr>
        <w:pStyle w:val="Kicker"/>
        <w:keepNext/>
      </w:pPr>
      <w:r>
        <w:t>24 / SIGNAL RULES</w:t>
      </w:r>
    </w:p>
    <w:p>
      <w:pPr>
        <w:pStyle w:val="Heading1"/>
      </w:pPr>
      <w:r>
        <w:t>趋势、异常、变化点与回归不是同义词</w:t>
      </w:r>
    </w:p>
    <w:p>
      <w:r>
        <w:rPr>
          <w:rFonts w:ascii="Calibri" w:hAnsi="Calibri" w:eastAsia="Noto Sans S Chinese Regular" w:cs="Calibri"/>
        </w:rPr>
        <w:t>每一种 SignalType 都要冻结算法、参数、输入序列摘要与触发条件，避免语言先于事实。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因果边界  </w:t>
      </w:r>
      <w:r>
        <w:rPr>
          <w:rFonts w:ascii="Calibri" w:hAnsi="Calibri" w:eastAsia="Noto Sans S Chinese Regular" w:cs="Calibri"/>
          <w:color w:val="0B2545"/>
        </w:rPr>
        <w:t>Change Point 接近 build-208 只能写 coincidesWith；未经验证不得写成 causedBy。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900"/>
        <w:gridCol w:w="29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回答的问题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实现策略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TREND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多个窗口总体方向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加权趋势 + 持续性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ANOMALY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当前是否偏离历史分布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Median + MAD 或 EWMA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CHANGE_POINT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分布从哪里发生改变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V2；只表示 coincidesWith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QUALITY_REGRESSION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可比 trusted pass 是否下降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effect + CI + FDR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STABILITY_REGRESSION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Flaky 是否上升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FlakyEvaluation 聚合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COVERAGE_GAP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必需单元是否长期缺失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规则检测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TRUST_DEGRADATION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证据/人工/卫生是否恶化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独立轴规则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25 / MULTIPLE TESTING</w:t>
      </w:r>
    </w:p>
    <w:p>
      <w:pPr>
        <w:pStyle w:val="Heading1"/>
      </w:pPr>
      <w:r>
        <w:t>多维扫描必须控制假发现与反转</w:t>
      </w:r>
    </w:p>
    <w:p>
      <w:r>
        <w:rPr>
          <w:rFonts w:ascii="Calibri" w:hAnsi="Calibri" w:eastAsia="Noto Sans S Chinese Regular" w:cs="Calibri"/>
        </w:rPr>
        <w:t>同时扫描业务、角色、浏览器和数据变体会自然产生偶然异常；没有校正的‘AI 发现’不可信。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Simpson 防护  </w:t>
      </w:r>
      <w:r>
        <w:rPr>
          <w:rFonts w:ascii="Calibri" w:hAnsi="Calibri" w:eastAsia="Noto Sans S Chinese Regular" w:cs="Calibri"/>
          <w:color w:val="0B2545"/>
        </w:rPr>
        <w:t>总体改善但关键角色恶化时，首页必须呈现分层反转。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每次扫描定义 hypothesis family，并在族内应用 Benjamini–Hochberg FDR。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只有同时达到 minimumEffectSize 的结果才进入候选，避免大样本微小差异刷屏。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限制维度深度、Cardinality Budget 与每轮候选数；禁止无限 Cube。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总体 Signal 自动检查关键维度分层；若方向反转，标记 STRATIFICATION_REQUIRED。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低样本 Critical Case 可绕过 n 门槛，但仍必须显示 Evidence、可比事实与单例性质。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探索性切片只能标记 EXPLORATORY，需独立窗口复现后升级 ACTIONABLE。</w:t>
      </w:r>
    </w:p>
    <w:p>
      <w:r>
        <w:br w:type="page"/>
      </w:r>
    </w:p>
    <w:p>
      <w:pPr>
        <w:pStyle w:val="Kicker"/>
        <w:keepNext/>
      </w:pPr>
      <w:r>
        <w:t>26 / LATE DATA</w:t>
      </w:r>
    </w:p>
    <w:p>
      <w:pPr>
        <w:pStyle w:val="Heading1"/>
      </w:pPr>
      <w:r>
        <w:t>迟到、重算和撤回只能产生新 Revision</w:t>
      </w:r>
    </w:p>
    <w:p>
      <w:r>
        <w:rPr>
          <w:rFonts w:ascii="Calibri" w:hAnsi="Calibri" w:eastAsia="Noto Sans S Chinese Regular" w:cs="Calibri"/>
        </w:rPr>
        <w:t>迟到来源包括 Evidence、Cleanup、人工分类与跨 Run Flaky；旧链接保留当时视图。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通知  </w:t>
      </w:r>
      <w:r>
        <w:rPr>
          <w:rFonts w:ascii="Calibri" w:hAnsi="Calibri" w:eastAsia="Noto Sans S Chinese Regular" w:cs="Calibri"/>
          <w:color w:val="0B2545"/>
        </w:rPr>
        <w:t>通知不可删除；Restatement 或 Retract 发送 Correction，并引用原消息 ID。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200"/>
        <w:gridCol w:w="4460"/>
      </w:tblGrid>
      <w:tr>
        <w:trPr>
          <w:tblHeader w:val="true"/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默认允许迟到</w:t>
            </w:r>
          </w:p>
        </w:tc>
        <w:tc>
          <w:tcPr>
            <w:tcW w:type="dxa" w:w="44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闭合条件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Verdict / Pass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30 分钟</w:t>
            </w:r>
          </w:p>
        </w:tc>
        <w:tc>
          <w:tcPr>
            <w:tcW w:type="dxa" w:w="4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result watermark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Evidence availability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6 小时</w:t>
            </w:r>
          </w:p>
        </w:tc>
        <w:tc>
          <w:tcPr>
            <w:tcW w:type="dxa" w:w="4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evidence watermark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Hygiene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72 小时</w:t>
            </w:r>
          </w:p>
        </w:tc>
        <w:tc>
          <w:tcPr>
            <w:tcW w:type="dxa" w:w="4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cleanup watermark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Classification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7 天</w:t>
            </w:r>
          </w:p>
        </w:tc>
        <w:tc>
          <w:tcPr>
            <w:tcW w:type="dxa" w:w="4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review watermark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Cross-run Flaky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下一个可比 Run</w:t>
            </w:r>
          </w:p>
        </w:tc>
        <w:tc>
          <w:tcPr>
            <w:tcW w:type="dxa" w:w="4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flaky watermark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new snapshot: RESTATED (supersedes old FINAL)</w:t>
        <w:br/>
        <w:t>old FINAL: FINAL → SUPERSEDED</w:t>
        <w:br/>
        <w:t>source invalid: new RETRACTED revision + CorrectionEvent</w:t>
      </w:r>
    </w:p>
    <w:p>
      <w:r>
        <w:br w:type="page"/>
      </w:r>
    </w:p>
    <w:p>
      <w:pPr>
        <w:pStyle w:val="Kicker"/>
        <w:keepNext/>
      </w:pPr>
      <w:r>
        <w:t>27 / ISSUE LINEAGE</w:t>
      </w:r>
    </w:p>
    <w:p>
      <w:pPr>
        <w:pStyle w:val="Heading1"/>
      </w:pPr>
      <w:r>
        <w:t>失败簇跨任务演化，但历史归因不可被重写</w:t>
      </w:r>
    </w:p>
    <w:p>
      <w:r>
        <w:rPr>
          <w:rFonts w:ascii="Calibri" w:hAnsi="Calibri" w:eastAsia="Noto Sans S Chinese Regular" w:cs="Calibri"/>
        </w:rPr>
        <w:t>FailureCluster 的 Merge/Split/Fixed/Regression 形成 Issue Lineage；只用于诊断，不生成 Verdict。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指纹  </w:t>
      </w:r>
      <w:r>
        <w:rPr>
          <w:rFonts w:ascii="Calibri" w:hAnsi="Calibri" w:eastAsia="Noto Sans S Chinese Regular" w:cs="Calibri"/>
          <w:color w:val="0B2545"/>
        </w:rPr>
        <w:t>相似错误文本不能直接合并；语义聚类只能产生 AUTO_SUGGESTED 候选。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600"/>
        <w:gridCol w:w="316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关系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含义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审计规则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CONTINUES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同指纹跨窗口持续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保存 fingerprint version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MERGED_INTO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多个簇人工或规则合并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旧引用保持有效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SPLIT_FROM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一个簇拆为多个原因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记录成员迁移 Revision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FIXED_AT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后续窗口达到恢复条件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绑定验证 Snapshot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REGRESSED_FROM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已解决现象重新出现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新 Episode，关联旧 Insight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COINCIDES_WITH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与构建/环境变化同时发生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不得升级为因果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28 / SIGNAL LIFECYCLE</w:t>
      </w:r>
    </w:p>
    <w:p>
      <w:pPr>
        <w:pStyle w:val="Heading1"/>
      </w:pPr>
      <w:r>
        <w:t>QualitySignal 与人工调查分别建模</w:t>
      </w:r>
    </w:p>
    <w:p>
      <w:r>
        <w:rPr>
          <w:rFonts w:ascii="Calibri" w:hAnsi="Calibri" w:eastAsia="Noto Sans S Chinese Regular" w:cs="Calibri"/>
        </w:rPr>
        <w:t>机器检测、现象确认、根因确认和解决复发是不同事件；一个状态字段无法表达全部语义。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600"/>
        <w:gridCol w:w="32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动作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能改变什么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不能改变什么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ACKNOWLEDGE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调查责任与时间线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统计置信度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CONFIRM_PHENOMENON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现象为真实问题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根因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CONFIRM_CAUSE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人工确认原因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历史 MetricSnapshot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DISMISS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处置状态 + Reason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机器观察事实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RESOLVE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恢复条件与验证引用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旧通知与证据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RETRACT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结论失效 + Correction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原 Revision 内容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Signal lifecycle: DETECTED → OPEN → RESOLVED → REGRESSED</w:t>
        <w:br/>
        <w:t xml:space="preserve">                  OPEN → DISMISSED | EXPIRED</w:t>
        <w:br/>
        <w:t xml:space="preserve">                  ANY  → RETRACTED</w:t>
        <w:br/>
        <w:t>Review events: ACKNOWLEDGE | CONFIRM_PHENOMENON |</w:t>
        <w:br/>
        <w:t xml:space="preserve">               CONFIRM_CAUSE | REJECT_CAUSE</w:t>
      </w:r>
    </w:p>
    <w:p>
      <w:r>
        <w:br w:type="page"/>
      </w:r>
    </w:p>
    <w:p>
      <w:pPr>
        <w:pStyle w:val="Kicker"/>
        <w:keepNext/>
      </w:pPr>
      <w:r>
        <w:t>29 / AI NARRATIVE</w:t>
      </w:r>
    </w:p>
    <w:p>
      <w:pPr>
        <w:pStyle w:val="Heading1"/>
      </w:pPr>
      <w:r>
        <w:t>AI 负责表达与候选，不负责统计和因果</w:t>
      </w:r>
    </w:p>
    <w:p>
      <w:r>
        <w:rPr>
          <w:rFonts w:ascii="Calibri" w:hAnsi="Calibri" w:eastAsia="Noto Sans S Chinese Regular" w:cs="Calibri"/>
        </w:rPr>
        <w:t>Narrative Worker 只读 Fact Packet；数字、比较词与引用在发布前均由确定性规则校验。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发布校验  </w:t>
      </w:r>
      <w:r>
        <w:rPr>
          <w:rFonts w:ascii="Calibri" w:hAnsi="Calibri" w:eastAsia="Noto Sans S Chinese Regular" w:cs="Calibri"/>
          <w:color w:val="0B2545"/>
        </w:rPr>
        <w:t>若数字、方向或 EvidenceRef 不在 Fact Packet 中，丢弃叙事并回退模板。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允许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把结构化指标写成简洁叙事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生成新指标或静默改分母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推荐值得检查的可见切片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隐藏反例、缺口或低样本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提出 0–3 个相关因素候选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把相关性写成根因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草拟验证任务说明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自动提交、执行或修改 Gate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保存模型、模板与输入摘要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保存内部思维链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30 / INFORMATION ARCHITECTURE</w:t>
      </w:r>
    </w:p>
    <w:p>
      <w:pPr>
        <w:pStyle w:val="Heading1"/>
      </w:pPr>
      <w:r>
        <w:t>页面按调查问题组织</w:t>
      </w:r>
    </w:p>
    <w:p>
      <w:r>
        <w:rPr>
          <w:rFonts w:ascii="Calibri" w:hAnsi="Calibri" w:eastAsia="Noto Sans S Chinese Regular" w:cs="Calibri"/>
        </w:rPr>
        <w:t>洞察中心不是图表目录；每条路由都绑定稳定 Cohort、Baseline、DatasetCut 与查询状态。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V1 路由  </w:t>
      </w:r>
      <w:r>
        <w:rPr>
          <w:rFonts w:ascii="Calibri" w:hAnsi="Calibri" w:eastAsia="Noto Sans S Chinese Regular" w:cs="Calibri"/>
          <w:color w:val="0B2545"/>
        </w:rPr>
        <w:t>先交付 Quality Brief、Diff Loom、Stability Orbit 与 Signal Lab；其余复用同一模型。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600"/>
        <w:gridCol w:w="3660"/>
      </w:tblGrid>
      <w:tr>
        <w:trPr>
          <w:tblHeader w:val="true"/>
          <w:cantSplit/>
        </w:trPr>
        <w:tc>
          <w:tcPr>
            <w:tcW w:type="dxa" w:w="3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路由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页面语言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核心问题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/insights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质量简报 Quality Brief</w:t>
            </w:r>
          </w:p>
        </w:tc>
        <w:tc>
          <w:tcPr>
            <w:tcW w:type="dxa" w:w="3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现在最值得行动的变化是什么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/insights/terrain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质量地形</w:t>
            </w:r>
          </w:p>
        </w:tc>
        <w:tc>
          <w:tcPr>
            <w:tcW w:type="dxa" w:w="3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风险在哪个业务能力积累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/insights/compare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差异织带</w:t>
            </w:r>
          </w:p>
        </w:tc>
        <w:tc>
          <w:tcPr>
            <w:tcW w:type="dxa" w:w="3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两个 Cohort 从哪里分叉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/insights/stability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稳定性轨道</w:t>
            </w:r>
          </w:p>
        </w:tc>
        <w:tc>
          <w:tcPr>
            <w:tcW w:type="dxa" w:w="3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哪些通过依赖重试或人工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/insights/signals/:id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信号调查室</w:t>
            </w:r>
          </w:p>
        </w:tc>
        <w:tc>
          <w:tcPr>
            <w:tcW w:type="dxa" w:w="3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这个变化是否可信、如何验证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/insights/coverage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可信覆盖网</w:t>
            </w:r>
          </w:p>
        </w:tc>
        <w:tc>
          <w:tcPr>
            <w:tcW w:type="dxa" w:w="3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哪些必需单元长期缺失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/insights/watch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质量守望</w:t>
            </w:r>
          </w:p>
        </w:tc>
        <w:tc>
          <w:tcPr>
            <w:tcW w:type="dxa" w:w="3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哪些规则需要持续通知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31 / QUALITY TERRAIN</w:t>
      </w:r>
    </w:p>
    <w:p>
      <w:pPr>
        <w:pStyle w:val="Heading1"/>
      </w:pPr>
      <w:r>
        <w:t>质量地形：用业务地貌表达风险积累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02000"/>
            <wp:docPr id="1" name="Picture 1" descr="图 1  Quality Terrain：业务能力、相对基线变化、可信覆盖与行动信号同屏" title="图 1  Quality Terrain：业务能力、相对基线变化、可信覆盖与行动信号同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terr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  Quality Terrain：业务能力、相对基线变化、可信覆盖与行动信号同屏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不是健康分  </w:t>
      </w:r>
      <w:r>
        <w:rPr>
          <w:rFonts w:ascii="Calibri" w:hAnsi="Calibri" w:eastAsia="Noto Sans S Chinese Regular" w:cs="Calibri"/>
          <w:color w:val="0B2545"/>
        </w:rPr>
        <w:t>地形高度是受影响业务权重；峰值可拆为成员、效应、持续性与信任。</w:t>
      </w:r>
    </w:p>
    <w:p>
      <w:r>
        <w:br w:type="page"/>
      </w:r>
    </w:p>
    <w:p>
      <w:pPr>
        <w:pStyle w:val="Kicker"/>
        <w:keepNext/>
      </w:pPr>
      <w:r>
        <w:t>32 / DIFF LOOM</w:t>
      </w:r>
    </w:p>
    <w:p>
      <w:pPr>
        <w:pStyle w:val="Heading1"/>
      </w:pPr>
      <w:r>
        <w:t>差异织带：定位第一次有意义分叉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37840"/>
            <wp:docPr id="2" name="Picture 2" descr="图 2  Diff Loom：锁定可比维度后比较两个构建，并下钻到首次显著分叉" title="图 2  Diff Loom：锁定可比维度后比较两个构建，并下钻到首次显著分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_lo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2  Diff Loom：锁定可比维度后比较两个构建，并下钻到首次显著分叉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交互规则  </w:t>
      </w:r>
      <w:r>
        <w:rPr>
          <w:rFonts w:ascii="Calibri" w:hAnsi="Calibri" w:eastAsia="Noto Sans S Chinese Regular" w:cs="Calibri"/>
          <w:color w:val="0B2545"/>
        </w:rPr>
        <w:t>默认锁定非处理维度；释放任一锁时同步显示可比覆盖变化。</w:t>
      </w:r>
    </w:p>
    <w:p>
      <w:r>
        <w:br w:type="page"/>
      </w:r>
    </w:p>
    <w:p>
      <w:pPr>
        <w:pStyle w:val="Kicker"/>
        <w:keepNext/>
      </w:pPr>
      <w:r>
        <w:t>33 / STABILITY ORBIT</w:t>
      </w:r>
    </w:p>
    <w:p>
      <w:pPr>
        <w:pStyle w:val="Heading1"/>
      </w:pPr>
      <w:r>
        <w:t>稳定性轨道：揭示被绿色掩盖的波动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02000"/>
            <wp:docPr id="3" name="Picture 3" descr="图 3  Stability Orbit：业务 Flaky、人工影响、业务失败与 Infra Recovery 分轨表达" title="图 3  Stability Orbit：业务 Flaky、人工影响、业务失败与 Infra Recovery 分轨表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bility_orb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3  Stability Orbit：业务 Flaky、人工影响、业务失败与 Infra Recovery 分轨表达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不可混合  </w:t>
      </w:r>
      <w:r>
        <w:rPr>
          <w:rFonts w:ascii="Calibri" w:hAnsi="Calibri" w:eastAsia="Noto Sans S Chinese Regular" w:cs="Calibri"/>
          <w:color w:val="0B2545"/>
        </w:rPr>
        <w:t>外轨 INFRA_RECOVERED 不算业务 Flaky；斜纹 MANUAL_ASSISTED 不算自主通过。</w:t>
      </w:r>
    </w:p>
    <w:p>
      <w:r>
        <w:br w:type="page"/>
      </w:r>
    </w:p>
    <w:p>
      <w:pPr>
        <w:pStyle w:val="Kicker"/>
        <w:keepNext/>
      </w:pPr>
      <w:r>
        <w:t>34 / SIGNAL LAB</w:t>
      </w:r>
    </w:p>
    <w:p>
      <w:pPr>
        <w:pStyle w:val="Heading1"/>
      </w:pPr>
      <w:r>
        <w:t>信号调查室：支持、反证与缺口同时在场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35960"/>
            <wp:docPr id="4" name="Picture 4" descr="图 4  Signal Lab：从观察、可比检查、切片与证据到账本化验证任务" title="图 4  Signal Lab：从观察、可比检查、切片与证据到账本化验证任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la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4  Signal Lab：从观察、可比检查、切片与证据到账本化验证任务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反事实切片  </w:t>
      </w:r>
      <w:r>
        <w:rPr>
          <w:rFonts w:ascii="Calibri" w:hAnsi="Calibri" w:eastAsia="Noto Sans S Chinese Regular" w:cs="Calibri"/>
          <w:color w:val="0B2545"/>
        </w:rPr>
        <w:t>Slice Away 逐一排除环境、浏览器、角色或数据变体；剩余差异仍需验证。</w:t>
      </w:r>
    </w:p>
    <w:p>
      <w:r>
        <w:br w:type="page"/>
      </w:r>
    </w:p>
    <w:p>
      <w:pPr>
        <w:pStyle w:val="Kicker"/>
        <w:keepNext/>
      </w:pPr>
      <w:r>
        <w:t>35 / QUALITY BRIEF</w:t>
      </w:r>
    </w:p>
    <w:p>
      <w:pPr>
        <w:pStyle w:val="Heading1"/>
      </w:pPr>
      <w:r>
        <w:t>首页是一份编辑过的质量简报</w:t>
      </w:r>
    </w:p>
    <w:p>
      <w:r>
        <w:rPr>
          <w:rFonts w:ascii="Calibri" w:hAnsi="Calibri" w:eastAsia="Noto Sans S Chinese Regular" w:cs="Calibri"/>
        </w:rPr>
        <w:t>首屏只讲当前窗口内最重要的变化，并明确什么没有变化，避免异常选择偏差。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叙事示例  </w:t>
      </w:r>
      <w:r>
        <w:rPr>
          <w:rFonts w:ascii="Calibri" w:hAnsi="Calibri" w:eastAsia="Noto Sans S Chinese Regular" w:cs="Calibri"/>
          <w:color w:val="0B2545"/>
        </w:rPr>
        <w:t>权限从 build-208 起恶化：3 个可比 Run 共 18/64 失败；管理员无变化。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一句话态势：时间窗口、Baseline、样本与新鲜度。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1–3 个行动信号：变化、影响、可信度、反证、缺口与下一步。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What did not change：稳定角色、环境与业务域，作为自然对照。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质量预算：分轴展示剩余量和 Burn Rate，不合成总分。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完整账本抽屉：指标口径、Cohort、成员、排除与 DatasetCut。</w:t>
      </w:r>
    </w:p>
    <w:p>
      <w:r>
        <w:br w:type="page"/>
      </w:r>
    </w:p>
    <w:p>
      <w:pPr>
        <w:pStyle w:val="Kicker"/>
        <w:keepNext/>
      </w:pPr>
      <w:r>
        <w:t>36 / RELEASE JOURNEY</w:t>
      </w:r>
    </w:p>
    <w:p>
      <w:pPr>
        <w:pStyle w:val="Heading1"/>
      </w:pPr>
      <w:r>
        <w:t>发布回归：从两个构建到验证闭环</w:t>
      </w:r>
    </w:p>
    <w:p>
      <w:r>
        <w:rPr>
          <w:rFonts w:ascii="Calibri" w:hAnsi="Calibri" w:eastAsia="Noto Sans S Chinese Regular" w:cs="Calibri"/>
        </w:rPr>
        <w:t>发布负责人比较 Build 时，Build 是处理变量；Case、Oracle、Fixture、角色、浏览器、环境与 Agent Contract 默认锁定。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措辞  </w:t>
      </w:r>
      <w:r>
        <w:rPr>
          <w:rFonts w:ascii="Calibri" w:hAnsi="Calibri" w:eastAsia="Noto Sans S Chinese Regular" w:cs="Calibri"/>
          <w:color w:val="0B2545"/>
        </w:rPr>
        <w:t>允许说‘与 build-208 同时出现且可比样本恶化’，未经实验不得说‘build-208 导致’。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选择 build-207 基线与 build-208 当前集合，物化 releaseComparisonKey 匹配。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显示原始 72 Unit、匹配 64 Unit、覆盖 88.9% 与 8 个不匹配原因。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Diff Loom 在 Oracle 阶段显示首次可行动分叉。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Signal Lab 展示销售角色支持样本、管理员反例与一次鉴权抖动。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生成固定账号、fixture-v12、两浏览器、12 Unit 的验证任务草案。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任务中心审核执行；新 QUALITY_FINAL 只追加 Signal Revision。</w:t>
      </w:r>
    </w:p>
    <w:p>
      <w:r>
        <w:br w:type="page"/>
      </w:r>
    </w:p>
    <w:p>
      <w:pPr>
        <w:pStyle w:val="Kicker"/>
        <w:keepNext/>
      </w:pPr>
      <w:r>
        <w:t>37 / FLAKY JOURNEY</w:t>
      </w:r>
    </w:p>
    <w:p>
      <w:pPr>
        <w:pStyle w:val="Heading1"/>
      </w:pPr>
      <w:r>
        <w:t>Flaky 治理：先证明可比，再观察混合结果</w:t>
      </w:r>
    </w:p>
    <w:p>
      <w:r>
        <w:rPr>
          <w:rFonts w:ascii="Calibri" w:hAnsi="Calibri" w:eastAsia="Noto Sans S Chinese Regular" w:cs="Calibri"/>
        </w:rPr>
        <w:t>稳定性轨道只纳入 executionComparabilityKey 一致的样本，并保留原始 UnitAttempt 与跨 Run 证据。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不提供  </w:t>
      </w:r>
      <w:r>
        <w:rPr>
          <w:rFonts w:ascii="Calibri" w:hAnsi="Calibri" w:eastAsia="Noto Sans S Chinese Regular" w:cs="Calibri"/>
          <w:color w:val="0B2545"/>
        </w:rPr>
        <w:t>洞察页没有‘静默忽略’或‘自动隔离’按钮；隔离必须经过测试治理。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选择最近 20 个可比 Run 与 Critical 场景族。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把 INFRA_RECOVERED 放入外轨，不计入 flakyConfirmedUnitRate。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查看 assertion Fail→Pass 的 UnitAttempt 序列、指纹与等价性检查。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以结果中心 UnitAttempt Deck 比较首次分叉和 EvidenceIntegrity。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加入 Watchlist，并创建固定等待策略与同一数据模板的验证草案。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修复后需连续窗口满足恢复条件，旧 Episode 标记 RESOLVED；复发进入 REGRESSED。</w:t>
      </w:r>
    </w:p>
    <w:p>
      <w:r>
        <w:br w:type="page"/>
      </w:r>
    </w:p>
    <w:p>
      <w:pPr>
        <w:pStyle w:val="Kicker"/>
        <w:keepNext/>
      </w:pPr>
      <w:r>
        <w:t>38 / DIMENSION &amp; COVERAGE LENS</w:t>
      </w:r>
    </w:p>
    <w:p>
      <w:pPr>
        <w:pStyle w:val="Heading1"/>
      </w:pPr>
      <w:r>
        <w:t>角色、数据与环境：从总体趋势进入可信覆盖</w:t>
      </w:r>
    </w:p>
    <w:p>
      <w:r>
        <w:rPr>
          <w:rFonts w:ascii="Calibri" w:hAnsi="Calibri" w:eastAsia="Noto Sans S Chinese Regular" w:cs="Calibri"/>
        </w:rPr>
        <w:t>总体指标只能作为入口；关键维度必须支持等价列表、分层反转提示与必需覆盖单元。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等价入口  </w:t>
      </w:r>
      <w:r>
        <w:rPr>
          <w:rFonts w:ascii="Calibri" w:hAnsi="Calibri" w:eastAsia="Noto Sans S Chinese Regular" w:cs="Calibri"/>
          <w:color w:val="0B2545"/>
        </w:rPr>
        <w:t>每个 Canvas/SVG 视觉都提供键盘可用的层级树、账本表与非颜色状态文字。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100"/>
        <w:gridCol w:w="376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视角</w:t>
            </w:r>
          </w:p>
        </w:tc>
        <w:tc>
          <w:tcPr>
            <w:tcW w:type="dxa" w:w="4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核心交互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防误读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角色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锁定 feature/build，比较 role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敏感角色脱敏；小组抑制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数据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按 dataVariant / fixtureVersion 切片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追踪 ID 不入维度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浏览器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engine/major/viewport 分层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不可把版本漂移当产品回归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环境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environmentClass 对照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Revision 变化显示不可比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覆盖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required cell 编织与缺口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失败、缺失、不可信分开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总体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显示 stratified reversal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防 Simpson's paradox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39 / ACTIONS &amp; WATCH</w:t>
      </w:r>
    </w:p>
    <w:p>
      <w:pPr>
        <w:pStyle w:val="Heading1"/>
      </w:pPr>
      <w:r>
        <w:t>把信号转成草案、守望与可撤回通知</w:t>
      </w:r>
    </w:p>
    <w:p>
      <w:r>
        <w:rPr>
          <w:rFonts w:ascii="Calibri" w:hAnsi="Calibri" w:eastAsia="Noto Sans S Chinese Regular" w:cs="Calibri"/>
        </w:rPr>
        <w:t>洞察中心拥有调查上下文，但不拥有任务、缺陷、发布或外部消息的最终副作用。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所有命令携带 sourceInsightRevision、target、actor、policy 与 Idempotency-Key。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通知保存 notificationId；Restatement/Retraction 发送 Correction 引用原消息。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已执行外部动作不会因信号撤回自动回滚，只生成补偿建议和审计任务。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动作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洞察中心输出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最终执行者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验证运行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ValidationTaskProposal + source insight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任务中心审核执行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用例补充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CoverageGap + design brief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用例治理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发布策略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QualityBudgetSnapshot + proposal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发布策略服务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持续守望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WatchRuleVersion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订阅/通知服务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外部缺陷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Draft payload + evidence links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人工确认的集成连接器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报告导出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Pinned InsightSnapshot export job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异步导出 Worker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40 / ARCHITECTURE</w:t>
      </w:r>
    </w:p>
    <w:p>
      <w:pPr>
        <w:pStyle w:val="Heading1"/>
      </w:pPr>
      <w:r>
        <w:t>Python 洞察投影架构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35960"/>
            <wp:docPr id="5" name="Picture 5" descr="图 5  洞察投影架构：结果事实权威、PostgreSQL V1、可选 ClickHouse V2 与受控行动" title="图 5  洞察投影架构：结果事实权威、PostgreSQL V1、可选 ClickHouse V2 与受控行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_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5  洞察投影架构：结果事实权威、PostgreSQL V1、可选 ClickHouse V2 与受控行动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权威路径  </w:t>
      </w:r>
      <w:r>
        <w:rPr>
          <w:rFonts w:ascii="Calibri" w:hAnsi="Calibri" w:eastAsia="Noto Sans S Chinese Regular" w:cs="Calibri"/>
          <w:color w:val="0B2545"/>
        </w:rPr>
        <w:t>Result facts 与 InsightSnapshot 是审计入口；其余投影均可重建。</w:t>
      </w:r>
    </w:p>
    <w:p>
      <w:r>
        <w:br w:type="page"/>
      </w:r>
    </w:p>
    <w:p>
      <w:pPr>
        <w:pStyle w:val="Kicker"/>
        <w:keepNext/>
      </w:pPr>
      <w:r>
        <w:t>41 / PYTHON</w:t>
      </w:r>
    </w:p>
    <w:p>
      <w:pPr>
        <w:pStyle w:val="Heading1"/>
      </w:pPr>
      <w:r>
        <w:t>模块化单体、分进程运行</w:t>
      </w:r>
    </w:p>
    <w:p>
      <w:r>
        <w:rPr>
          <w:rFonts w:ascii="Calibri" w:hAnsi="Calibri" w:eastAsia="Noto Sans S Chinese Regular" w:cs="Calibri"/>
        </w:rPr>
        <w:t>首期采用 Python backend package；API、Projector 与 Temporal Worker 分进程扩缩，不先拆微服务。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建议 Python 3.14 + Mypy strict；启用 warn_unreachable 与 strict_optional。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SQL-first Repository 暴露隔离级别、SET LOCAL、锁与执行计划，不让 ORM 隐藏。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200"/>
        <w:gridCol w:w="256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进程 / 包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职责</w:t>
            </w:r>
          </w:p>
        </w:tc>
        <w:tc>
          <w:tcPr>
            <w:tcW w:type="dxa" w:w="25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技术边界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insight-api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REST、SSE、鉴权与查询编译</w:t>
            </w:r>
          </w:p>
        </w:tc>
        <w:tc>
          <w:tcPr>
            <w:tcW w:type="dxa" w:w="2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FastAPI + Pydantic + JSON Schema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insight-projector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Outbox → event / signed delta / checkpoint</w:t>
            </w:r>
          </w:p>
        </w:tc>
        <w:tc>
          <w:tcPr>
            <w:tcW w:type="dxa" w:w="2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Psycopg 3 显式事务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insight-temporal-worker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导出、重放、订阅与补偿</w:t>
            </w:r>
          </w:p>
        </w:tc>
        <w:tc>
          <w:tcPr>
            <w:tcW w:type="dxa" w:w="2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I/O 全在 Activity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contracts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Pydantic 模型与导出的 JSON Schema</w:t>
            </w:r>
          </w:p>
        </w:tc>
        <w:tc>
          <w:tcPr>
            <w:tcW w:type="dxa" w:w="2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运行时仍校验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metric-catalog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版本化指标与结构化谓词</w:t>
            </w:r>
          </w:p>
        </w:tc>
        <w:tc>
          <w:tcPr>
            <w:tcW w:type="dxa" w:w="2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禁止任意 SQL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statistics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Wilson/Newcombe/FDR/MAD</w:t>
            </w:r>
          </w:p>
        </w:tc>
        <w:tc>
          <w:tcPr>
            <w:tcW w:type="dxa" w:w="2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黄金向量与算法版本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authz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tenant/project/sensitivity</w:t>
            </w:r>
          </w:p>
        </w:tc>
        <w:tc>
          <w:tcPr>
            <w:tcW w:type="dxa" w:w="2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RLS scoped transaction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42 / EVENT &amp; OUTBOX</w:t>
      </w:r>
    </w:p>
    <w:p>
      <w:pPr>
        <w:pStyle w:val="Heading1"/>
      </w:pPr>
      <w:r>
        <w:t>at-least-once + 业务幂等，而不是口头 exactly-once</w:t>
      </w:r>
    </w:p>
    <w:p>
      <w:r>
        <w:rPr>
          <w:rFonts w:ascii="Calibri" w:hAnsi="Calibri" w:eastAsia="Noto Sans S Chinese Regular" w:cs="Calibri"/>
        </w:rPr>
        <w:t>Result Revision 与 Outbox 同事务提交；重复投递允许，Projector 副作用只能发生一次。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修订  </w:t>
      </w:r>
      <w:r>
        <w:rPr>
          <w:rFonts w:ascii="Calibri" w:hAnsi="Calibri" w:eastAsia="Noto Sans S Chinese Regular" w:cs="Calibri"/>
          <w:color w:val="0B2545"/>
        </w:rPr>
        <w:t>旧贡献写负增量，新贡献写正增量；迟到事实用同一机制推进受影响 Bucket Revision。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幂等键：eventId；实体唯一键：entityType + entityId + revision + schemaVersion。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Projector 一次事务写 dedupe、insight_event、signed delta、checkpoint 与 audit。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Revision gap 进入 quarantine，不猜测中间状态；毒消息保留原文摘要与人工动作。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Event 不携带截图、DOM、凭证、客户名、追踪 ID 或任意证据正文。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"eventId": "0198...",</w:t>
        <w:br/>
        <w:t xml:space="preserve">  "eventType": "result.revised",</w:t>
        <w:br/>
        <w:t xml:space="preserve">  "schemaVersion": 1,</w:t>
        <w:br/>
        <w:t xml:space="preserve">  "entity": {</w:t>
        <w:br/>
        <w:t xml:space="preserve">    "type": "unit",</w:t>
        <w:br/>
        <w:t xml:space="preserve">    "id": "unit_42",</w:t>
        <w:br/>
        <w:t xml:space="preserve">    "revision": 3</w:t>
        <w:br/>
        <w:t xml:space="preserve">  },</w:t>
        <w:br/>
        <w:t xml:space="preserve">  "metricTime": "2026-07-11T12:30:00Z",</w:t>
        <w:br/>
        <w:t xml:space="preserve">  "committedAt": "2026-07-11T12:30:03Z",</w:t>
        <w:br/>
        <w:t xml:space="preserve">  "resultRef": "result://unit_42/rev/3",</w:t>
        <w:br/>
        <w:t xml:space="preserve">  "sourceDigest": "sha256:..."</w:t>
        <w:br/>
        <w:t>}</w:t>
      </w:r>
    </w:p>
    <w:p>
      <w:r>
        <w:br w:type="page"/>
      </w:r>
    </w:p>
    <w:p>
      <w:pPr>
        <w:pStyle w:val="Kicker"/>
        <w:keepNext/>
      </w:pPr>
      <w:r>
        <w:t>43 / POSTGRESQL V1</w:t>
      </w:r>
    </w:p>
    <w:p>
      <w:pPr>
        <w:pStyle w:val="Heading1"/>
      </w:pPr>
      <w:r>
        <w:t>V1 用普通表增量投影，不用原生 MV 假装流处理</w:t>
      </w:r>
    </w:p>
    <w:p>
      <w:r>
        <w:rPr>
          <w:rFonts w:ascii="Calibri" w:hAnsi="Calibri" w:eastAsia="Noto Sans S Chinese Regular" w:cs="Calibri"/>
        </w:rPr>
        <w:t>PostgreSQL 原生 Materialized View 需 Refresh；实时洞察由 Projector 维护事件与聚合。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事件与大聚合按 metric_time 月分区；不要为每个租户创建海量分区。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B-tree 服务 tenant/project/time；BRIN 是否启用由真实 EXPLAIN 决定。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dimension_hash 同时保存可读 dimension values，禁止只有不可解释哈希。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800"/>
        <w:gridCol w:w="2860"/>
      </w:tblGrid>
      <w:tr>
        <w:trPr>
          <w:tblHeader w:val="true"/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表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业务键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insight_event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tenant + eventId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脱敏追加事实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insight_entity_state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entity + metricVersion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最后 Revision 与贡献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insight_metric_bucket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metric + bucket + dimensionHash + generation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signed count/sum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projection_dedupe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projector + eventId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副作用幂等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projection_checkpoint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projector + shard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Outbox 与业务水位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metric_snapshot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snapshotId + revision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不可变指标点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insight_snapshot/card/review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稳定 ID + revision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分享、治理与审计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44 / SNAPSHOT COMPUTE</w:t>
      </w:r>
    </w:p>
    <w:p>
      <w:pPr>
        <w:pStyle w:val="Heading1"/>
      </w:pPr>
      <w:r>
        <w:t>计算必须确定、可重放、可对账</w:t>
      </w:r>
    </w:p>
    <w:p>
      <w:r>
        <w:rPr>
          <w:rFonts w:ascii="Calibri" w:hAnsi="Calibri" w:eastAsia="Noto Sans S Chinese Regular" w:cs="Calibri"/>
        </w:rPr>
        <w:t>Metric Compiler 将结构化谓词编译为参数化 SQL；DatasetCut 在稳定快照内封存。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确定性  </w:t>
      </w:r>
      <w:r>
        <w:rPr>
          <w:rFonts w:ascii="Calibri" w:hAnsi="Calibri" w:eastAsia="Noto Sans S Chinese Regular" w:cs="Calibri"/>
          <w:color w:val="0B2545"/>
        </w:rPr>
        <w:t>同一 DatasetCut、合同和算法版本应生成相同 digest；不一致即拒绝发布并报警。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读取 Metric/Cohort/Baseline/Dimension 版本并校验授权与复杂度。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选择 Repeatable Read 或已发布 projection generation，记录 watermarks。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按 Grain 去重并重新求和 numerator/denominator；校验 count conservation。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计算 effect、interval、coverage、FDR 与 Signal 候选。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用 JCS 规范化 Fact Packet，生成 snapshotDigest 与 sourceSetDigest。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单事务追加 MetricSnapshot、InsightSnapshot、Signal Revision 与 Outbox。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Shadow replay 从 insight_event 重建新 generation，对账为零后原子切换。</w:t>
      </w:r>
    </w:p>
    <w:p>
      <w:r>
        <w:br w:type="page"/>
      </w:r>
    </w:p>
    <w:p>
      <w:pPr>
        <w:pStyle w:val="Kicker"/>
        <w:keepNext/>
      </w:pPr>
      <w:r>
        <w:t>45 / CLICKHOUSE V2</w:t>
      </w:r>
    </w:p>
    <w:p>
      <w:pPr>
        <w:pStyle w:val="Heading1"/>
      </w:pPr>
      <w:r>
        <w:t>达到容量门槛后再增加可重建分析投影</w:t>
      </w:r>
    </w:p>
    <w:p>
      <w:r>
        <w:rPr>
          <w:rFonts w:ascii="Calibri" w:hAnsi="Calibri" w:eastAsia="Noto Sans S Chinese Regular" w:cs="Calibri"/>
        </w:rPr>
        <w:t>V2 只复制脱敏 append-only insight_event；PostgreSQL 保留 Result 与 Insight 权威。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官方边界  </w:t>
      </w:r>
      <w:r>
        <w:rPr>
          <w:rFonts w:ascii="Calibri" w:hAnsi="Calibri" w:eastAsia="Noto Sans S Chinese Regular" w:cs="Calibri"/>
          <w:color w:val="0B2545"/>
        </w:rPr>
        <w:t>ReplacingMergeTree 仅最终一致；普通 SELECT 不得用于 Gate 与审计。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400"/>
        <w:gridCol w:w="27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决策</w:t>
            </w:r>
          </w:p>
        </w:tc>
        <w:tc>
          <w:tcPr>
            <w:tcW w:type="dxa" w:w="4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采用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拒绝的捷径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进入门槛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活跃事实/延迟/并发/导出持续超预算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凭感觉上新组件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原始表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MergeTree + eventId + revision + signed delta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任意业务表 CDC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增量聚合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Incremental MV 只做可合并聚合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可变 JOIN 自动回补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复杂重算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Refreshable MV 或受控 Backfill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原地覆盖历史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更新去重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业务 eventId + 对账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依赖 ReplacingMergeTree merge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安全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只读账户 + Row Policy + BFF tenant filter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可写用户依赖 Row Policy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切换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PG/CH 双读一个迭代，按租户灰度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一次性全量迁移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46 / API, EXPORT &amp; WATCH</w:t>
      </w:r>
    </w:p>
    <w:p>
      <w:pPr>
        <w:pStyle w:val="Heading1"/>
      </w:pPr>
      <w:r>
        <w:t>查询只选择已注册语义；大结果异步化</w:t>
      </w:r>
    </w:p>
    <w:p>
      <w:r>
        <w:rPr>
          <w:rFonts w:ascii="Calibri" w:hAnsi="Calibri" w:eastAsia="Noto Sans S Chinese Regular" w:cs="Calibri"/>
        </w:rPr>
        <w:t>API 返回 Snapshot、watermark、queryHash 与 metricVersion；拒绝任意 SQL 和用户 Schema。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缓存键含 tenant/project/authScopeHash/snapshot/generation/watermark/queryHash。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默认 groupBy≤3、series≤200、同步≤20k rows；超预算建议异步导出。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导出下载时重新鉴权，使用短 TTL 能力并记录下载审计。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900"/>
        <w:gridCol w:w="45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方法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路径</w:t>
            </w:r>
          </w:p>
        </w:tc>
        <w:tc>
          <w:tcPr>
            <w:tcW w:type="dxa" w:w="45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职责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/v1/insight-queries:preview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校验 Cohort / Baseline / 成本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/v1/insight-snapshots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冻结 DatasetCut 并计算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GET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/v1/insight-snapshots/{id}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固定质量简报与血缘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GET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/v1/metrics/{key}/series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受控趋势、facet 与 cursor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GET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/v1/insights/{id}/revisions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Signal / Review / Correction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/v1/insights/{id}/reviews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确认、驳回、解决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/v1/insights/{id}/task-proposals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创建验证任务草案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/v1/exports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异步导出；对象 Manifest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47 / SECURITY</w:t>
      </w:r>
    </w:p>
    <w:p>
      <w:pPr>
        <w:pStyle w:val="Heading1"/>
      </w:pPr>
      <w:r>
        <w:t>多租户与敏感维度采用双重强制</w:t>
      </w:r>
    </w:p>
    <w:p>
      <w:r>
        <w:rPr>
          <w:rFonts w:ascii="Calibri" w:hAnsi="Calibri" w:eastAsia="Noto Sans S Chinese Regular" w:cs="Calibri"/>
        </w:rPr>
        <w:t>洞察查询能组合大量维度，任何遗漏 tenant/project 或缓存授权范围都会造成横向泄漏。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禁止入维  </w:t>
      </w:r>
      <w:r>
        <w:rPr>
          <w:rFonts w:ascii="Calibri" w:hAnsi="Calibri" w:eastAsia="Noto Sans S Chinese Regular" w:cs="Calibri"/>
          <w:color w:val="0B2545"/>
        </w:rPr>
        <w:t>凭证、Cookie、Token、storageState、客户名/手机号、追踪ID、自由链接均禁止。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000"/>
        <w:gridCol w:w="3360"/>
      </w:tblGrid>
      <w:tr>
        <w:trPr>
          <w:tblHeader w:val="true"/>
          <w:cantSplit/>
        </w:trPr>
        <w:tc>
          <w:tcPr>
            <w:tcW w:type="dxa" w:w="2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层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控制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关键失败模式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PostgreSQL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RLS + FORCE RLS + default deny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owner/BYPASSRLS 绕过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请求事务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set_config(..., true) 写 tenant/project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连接池上下文残留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Query Compiler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allowlist + 强制 tenant AST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任意 SQL / 维度注入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敏感维度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INTERNAL/SENSITIVE/RESTRICTED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小样本身份暴露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缓存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authScopeHash + watermark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跨角色复用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ClickHouse V2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只读角色、Row Policy、Quota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可写账户绕过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AI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脱敏 Fact Packet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Prompt 泄露账号与数据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导出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再鉴权、短签名、审计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旧链接长期有效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48 / PERFORMANCE &amp; OPERATIONS</w:t>
      </w:r>
    </w:p>
    <w:p>
      <w:pPr>
        <w:pStyle w:val="Heading1"/>
      </w:pPr>
      <w:r>
        <w:t>性能、可观测性与降级必须可验证</w:t>
      </w:r>
    </w:p>
    <w:p>
      <w:r>
        <w:rPr>
          <w:rFonts w:ascii="Calibri" w:hAnsi="Calibri" w:eastAsia="Noto Sans S Chinese Regular" w:cs="Calibri"/>
        </w:rPr>
        <w:t>以下是首期工程预算，需用真实分布压测校准；任何降级都不能让旧数据伪装为当前事实。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监控 Outbox 旧度、投影延迟、重复、缺口、迟到、隔离与重放差异。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OTel 只用于诊断；Outbox producer 与 consumer 使用 Span Link，Baggage 不放敏感数据。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PG 备份覆盖控制面与 Snapshot；洞察投影可从结果事实重建，CH 故障不影响 Gate。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100"/>
        <w:gridCol w:w="4260"/>
      </w:tblGrid>
      <w:tr>
        <w:trPr>
          <w:tblHeader w:val="true"/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V1 目标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降级策略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质量简报 P95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≤ 2 秒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固定 Snapshot + ETag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Facet P95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≤ 1 秒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限制维度与 series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Projector 可见 P95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≤ 5 秒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显示 watermark / lag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10k Unit 首屏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≤ 2 秒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服务端预聚合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90 天导出受理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≤ 300 ms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Temporal 异步任务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API 可用性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≥ 99.9% / 月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只读固定快照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Replay 守恒差异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0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停止 generation 切换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跨租户泄漏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0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安全事件 + 立即封禁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49 / TEST, ACCEPTANCE &amp; ROADMAP</w:t>
      </w:r>
    </w:p>
    <w:p>
      <w:pPr>
        <w:pStyle w:val="Heading1"/>
      </w:pPr>
      <w:r>
        <w:t>先证明口径，再扩大规模</w:t>
      </w:r>
    </w:p>
    <w:p>
      <w:r>
        <w:rPr>
          <w:rFonts w:ascii="Calibri" w:hAnsi="Calibri" w:eastAsia="Noto Sans S Chinese Regular" w:cs="Calibri"/>
        </w:rPr>
        <w:t>Definition of Done：重试、迟到、重放、跨租户与引擎切换后，同一事实仍得相同结论。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首期完成定义  </w:t>
      </w:r>
      <w:r>
        <w:rPr>
          <w:rFonts w:ascii="Calibri" w:hAnsi="Calibri" w:eastAsia="Noto Sans S Chinese Regular" w:cs="Calibri"/>
          <w:color w:val="0B2545"/>
        </w:rPr>
        <w:t>每个 Signal 可下钻指标、Cohort、结果快照和证据；不可比样本禁止强结论。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Property：ratio of sums、signed delta、watermark 单调、permutation invariance。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Golden stats：Wilson/Newcombe/FDR/MAD 与独立参考实现对照。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Replay：重复、乱序、gap、late、retract、Projector 崩溃与 generation 切换。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Security：无 tenant context、缓存串租户、敏感维度、导出越权与 AI Fact Packet。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UX：非颜色编码、键盘、读屏、减少动画；视觉与账本表达相同事实。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交付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退出门槛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M0 1 周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Metric/Dimension/Schema/Golden dataset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ADR 有 owner；期望输出签字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M1 2 周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Outbox、event、dedupe、RLS、quarantine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重复与崩溃后守恒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M2 2–3 周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signed delta、Snapshot、Query API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10k Unit 性能达标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M3 3–4 周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Brief、Loom、Orbit、Signal Lab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核心旅程与 a11y 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M4 2 周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导出、Watch、Correction、Runbook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故障与安全演练完成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M5 条件触发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ClickHouse shadow + 双读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相同 Snapshot 100% 守恒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50 / OFFICIAL SOURCES</w:t>
      </w:r>
    </w:p>
    <w:p>
      <w:pPr>
        <w:pStyle w:val="Heading1"/>
      </w:pPr>
      <w:r>
        <w:t>官方来源与最终原则</w:t>
      </w:r>
    </w:p>
    <w:p>
      <w:r>
        <w:rPr>
          <w:rFonts w:ascii="Calibri" w:hAnsi="Calibri" w:eastAsia="Noto Sans S Chinese Regular" w:cs="Calibri"/>
        </w:rPr>
        <w:t>以下资料用于约束实现与统计边界；Atlas 业务语义仍以本稿中的版本化合同和 ADR 为准。</w:t>
      </w:r>
    </w:p>
    <w:p>
      <w:pPr>
        <w:pStyle w:val="ListBullet"/>
        <w:spacing w:after="40" w:line="240" w:lineRule="auto"/>
      </w:pPr>
      <w:hyperlink r:id="rId18">
        <w:r>
          <w:rPr>
            <w:color w:val="2E74B5"/>
            <w:u w:val="single"/>
          </w:rPr>
          <w:t>PostgreSQL — Row Security Policies</w:t>
        </w:r>
      </w:hyperlink>
    </w:p>
    <w:p>
      <w:pPr>
        <w:pStyle w:val="ListBullet"/>
        <w:spacing w:after="40" w:line="240" w:lineRule="auto"/>
      </w:pPr>
      <w:hyperlink r:id="rId19">
        <w:r>
          <w:rPr>
            <w:color w:val="2E74B5"/>
            <w:u w:val="single"/>
          </w:rPr>
          <w:t>PostgreSQL — Table Partitioning</w:t>
        </w:r>
      </w:hyperlink>
    </w:p>
    <w:p>
      <w:pPr>
        <w:pStyle w:val="ListBullet"/>
        <w:spacing w:after="40" w:line="240" w:lineRule="auto"/>
      </w:pPr>
      <w:hyperlink r:id="rId20">
        <w:r>
          <w:rPr>
            <w:color w:val="2E74B5"/>
            <w:u w:val="single"/>
          </w:rPr>
          <w:t>PostgreSQL — Materialized Views</w:t>
        </w:r>
      </w:hyperlink>
    </w:p>
    <w:p>
      <w:pPr>
        <w:pStyle w:val="ListBullet"/>
        <w:spacing w:after="40" w:line="240" w:lineRule="auto"/>
      </w:pPr>
      <w:hyperlink r:id="rId21">
        <w:r>
          <w:rPr>
            <w:color w:val="2E74B5"/>
            <w:u w:val="single"/>
          </w:rPr>
          <w:t>PostgreSQL — Logical Decoding Concepts</w:t>
        </w:r>
      </w:hyperlink>
    </w:p>
    <w:p>
      <w:pPr>
        <w:pStyle w:val="ListBullet"/>
        <w:spacing w:after="40" w:line="240" w:lineRule="auto"/>
      </w:pPr>
      <w:hyperlink r:id="rId22">
        <w:r>
          <w:rPr>
            <w:color w:val="2E74B5"/>
            <w:u w:val="single"/>
          </w:rPr>
          <w:t>ClickHouse — Incremental Materialized View</w:t>
        </w:r>
      </w:hyperlink>
    </w:p>
    <w:p>
      <w:pPr>
        <w:pStyle w:val="ListBullet"/>
        <w:spacing w:after="40" w:line="240" w:lineRule="auto"/>
      </w:pPr>
      <w:hyperlink r:id="rId23">
        <w:r>
          <w:rPr>
            <w:color w:val="2E74B5"/>
            <w:u w:val="single"/>
          </w:rPr>
          <w:t>ClickHouse — Refreshable Materialized View</w:t>
        </w:r>
      </w:hyperlink>
    </w:p>
    <w:p>
      <w:pPr>
        <w:pStyle w:val="ListBullet"/>
        <w:spacing w:after="40" w:line="240" w:lineRule="auto"/>
      </w:pPr>
      <w:hyperlink r:id="rId24">
        <w:r>
          <w:rPr>
            <w:color w:val="2E74B5"/>
            <w:u w:val="single"/>
          </w:rPr>
          <w:t>ClickHouse — ReplacingMergeTree</w:t>
        </w:r>
      </w:hyperlink>
    </w:p>
    <w:p>
      <w:pPr>
        <w:pStyle w:val="ListBullet"/>
        <w:spacing w:after="40" w:line="240" w:lineRule="auto"/>
      </w:pPr>
      <w:hyperlink r:id="rId25">
        <w:r>
          <w:rPr>
            <w:color w:val="2E74B5"/>
            <w:u w:val="single"/>
          </w:rPr>
          <w:t>ClickHouse — Python Integration</w:t>
        </w:r>
      </w:hyperlink>
    </w:p>
    <w:p>
      <w:pPr>
        <w:pStyle w:val="ListBullet"/>
        <w:spacing w:after="40" w:line="240" w:lineRule="auto"/>
      </w:pPr>
      <w:hyperlink r:id="rId26">
        <w:r>
          <w:rPr>
            <w:color w:val="2E74B5"/>
            <w:u w:val="single"/>
          </w:rPr>
          <w:t>ClickHouse — Access Control / Row Policy</w:t>
        </w:r>
      </w:hyperlink>
    </w:p>
    <w:p>
      <w:pPr>
        <w:pStyle w:val="ListBullet"/>
        <w:spacing w:after="40" w:line="240" w:lineRule="auto"/>
      </w:pPr>
      <w:hyperlink r:id="rId27">
        <w:r>
          <w:rPr>
            <w:color w:val="2E74B5"/>
            <w:u w:val="single"/>
          </w:rPr>
          <w:t>Temporal — Schedules</w:t>
        </w:r>
      </w:hyperlink>
    </w:p>
    <w:p>
      <w:pPr>
        <w:pStyle w:val="ListBullet"/>
        <w:spacing w:after="40" w:line="240" w:lineRule="auto"/>
      </w:pPr>
      <w:hyperlink r:id="rId28">
        <w:r>
          <w:rPr>
            <w:color w:val="2E74B5"/>
            <w:u w:val="single"/>
          </w:rPr>
          <w:t>Temporal — Workflow Definition / Determinism</w:t>
        </w:r>
      </w:hyperlink>
    </w:p>
    <w:p>
      <w:pPr>
        <w:pStyle w:val="ListBullet"/>
        <w:spacing w:after="40" w:line="240" w:lineRule="auto"/>
      </w:pPr>
      <w:hyperlink r:id="rId29">
        <w:r>
          <w:rPr>
            <w:color w:val="2E74B5"/>
            <w:u w:val="single"/>
          </w:rPr>
          <w:t>OpenTelemetry — Traces</w:t>
        </w:r>
      </w:hyperlink>
    </w:p>
    <w:p>
      <w:pPr>
        <w:pStyle w:val="ListBullet"/>
        <w:spacing w:after="40" w:line="240" w:lineRule="auto"/>
      </w:pPr>
      <w:hyperlink r:id="rId30">
        <w:r>
          <w:rPr>
            <w:color w:val="2E74B5"/>
            <w:u w:val="single"/>
          </w:rPr>
          <w:t>OpenTelemetry — Metrics</w:t>
        </w:r>
      </w:hyperlink>
    </w:p>
    <w:p>
      <w:pPr>
        <w:pStyle w:val="ListBullet"/>
        <w:spacing w:after="40" w:line="240" w:lineRule="auto"/>
      </w:pPr>
      <w:hyperlink r:id="rId31">
        <w:r>
          <w:rPr>
            <w:color w:val="2E74B5"/>
            <w:u w:val="single"/>
          </w:rPr>
          <w:t>W3C — PROV Data Model</w:t>
        </w:r>
      </w:hyperlink>
    </w:p>
    <w:p>
      <w:pPr>
        <w:pStyle w:val="ListBullet"/>
        <w:spacing w:after="40" w:line="240" w:lineRule="auto"/>
      </w:pPr>
      <w:hyperlink r:id="rId32">
        <w:r>
          <w:rPr>
            <w:color w:val="2E74B5"/>
            <w:u w:val="single"/>
          </w:rPr>
          <w:t>RFC 8785 — JSON Canonicalization Scheme</w:t>
        </w:r>
      </w:hyperlink>
    </w:p>
    <w:p>
      <w:pPr>
        <w:pStyle w:val="ListBullet"/>
        <w:spacing w:after="40" w:line="240" w:lineRule="auto"/>
      </w:pPr>
      <w:hyperlink r:id="rId33">
        <w:r>
          <w:rPr>
            <w:color w:val="2E74B5"/>
            <w:u w:val="single"/>
          </w:rPr>
          <w:t>CloudEvents Specification</w:t>
        </w:r>
      </w:hyperlink>
    </w:p>
    <w:p>
      <w:pPr>
        <w:pStyle w:val="ListBullet"/>
        <w:spacing w:after="40" w:line="240" w:lineRule="auto"/>
      </w:pPr>
      <w:hyperlink r:id="rId34">
        <w:r>
          <w:rPr>
            <w:color w:val="2E74B5"/>
            <w:u w:val="single"/>
          </w:rPr>
          <w:t>NIST — EWMA Control Charts</w:t>
        </w:r>
      </w:hyperlink>
    </w:p>
    <w:p>
      <w:pPr>
        <w:pStyle w:val="ListBullet"/>
        <w:spacing w:after="40" w:line="240" w:lineRule="auto"/>
      </w:pPr>
      <w:hyperlink r:id="rId35">
        <w:r>
          <w:rPr>
            <w:color w:val="2E74B5"/>
            <w:u w:val="single"/>
          </w:rPr>
          <w:t>NIST — Detection of Outliers / MAD</w:t>
        </w:r>
      </w:hyperlink>
    </w:p>
    <w:p>
      <w:pPr>
        <w:pStyle w:val="ListBullet"/>
        <w:spacing w:after="40" w:line="240" w:lineRule="auto"/>
      </w:pPr>
      <w:hyperlink r:id="rId36">
        <w:r>
          <w:rPr>
            <w:color w:val="2E74B5"/>
            <w:u w:val="single"/>
          </w:rPr>
          <w:t>Benjamini–Hochberg — False Discovery Rate</w:t>
        </w:r>
      </w:hyperlink>
    </w:p>
    <w:p>
      <w:pPr>
        <w:pStyle w:val="ListBullet"/>
        <w:spacing w:after="40" w:line="240" w:lineRule="auto"/>
      </w:pPr>
      <w:hyperlink r:id="rId37">
        <w:r>
          <w:rPr>
            <w:color w:val="2E74B5"/>
            <w:u w:val="single"/>
          </w:rPr>
          <w:t>Newcombe — Difference Between Proportions</w:t>
        </w:r>
      </w:hyperlink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最终原则  </w:t>
      </w:r>
      <w:r>
        <w:rPr>
          <w:rFonts w:ascii="Calibri" w:hAnsi="Calibri" w:eastAsia="Noto Sans S Chinese Regular" w:cs="Calibri"/>
          <w:color w:val="0B2545"/>
        </w:rPr>
        <w:t>先证明可比与反证，再提出假设；先生成草案，再由责任领域执行。</w:t>
      </w:r>
    </w:p>
    <w:p>
      <w:pPr>
        <w:spacing w:before="200"/>
        <w:jc w:val="right"/>
      </w:pPr>
      <w:r>
        <w:rPr>
          <w:rFonts w:ascii="Calibri" w:hAnsi="Calibri" w:eastAsia="Noto Sans S Chinese Regular" w:cs="Calibri"/>
          <w:b/>
          <w:color w:val="2E74B5"/>
          <w:sz w:val="20"/>
        </w:rPr>
        <w:t>NEXT  /  冻结首批 MetricDefinition、双可比键、Golden Dataset 与客户权限纵向闭环。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5" w:color="D8DEE8"/>
      </w:pBdr>
      <w:pBdr>
        <w:bottom w:val="single" w:sz="6" w:space="5" w:color="D8DEE8"/>
      </w:pBdr>
    </w:pPr>
    <w:r>
      <w:rPr>
        <w:rFonts w:ascii="Calibri" w:hAnsi="Calibri" w:eastAsia="Noto Sans S Chinese Regular" w:cs="Calibri"/>
        <w:b/>
        <w:color w:val="687386"/>
        <w:sz w:val="17"/>
      </w:rPr>
      <w:t>ATLAS  /  洞察中心功能设计及实现对齐稿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Noto Sans S Chinese Regular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S Chinese Regular" w:cs="Calibri"/>
      <w:b/>
      <w:color w:val="1015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Noto Sans S Chinese Regular" w:cs="Calibri"/>
      <w:i/>
      <w:iCs/>
      <w:color w:val="687386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 w:eastAsia="Noto Sans S Chinese Regular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 w:eastAsia="Noto Sans S Chinese Regular" w:cs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200"/>
      <w:jc w:val="center"/>
    </w:pPr>
    <w:rPr>
      <w:rFonts w:ascii="Calibri" w:hAnsi="Calibri" w:eastAsia="Noto Sans S Chinese Regular" w:cs="Calibri"/>
      <w:b/>
      <w:bCs/>
      <w:i/>
      <w:color w:val="68738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60" w:line="240" w:lineRule="auto"/>
      <w:ind w:left="216" w:right="216"/>
    </w:pPr>
    <w:rPr>
      <w:rFonts w:ascii="Liberation Mono" w:hAnsi="Liberation Mono" w:eastAsia="Noto Sans S Chinese Regular" w:cs="Liberation Mono"/>
      <w:color w:val="0B2545"/>
      <w:sz w:val="16"/>
    </w:rPr>
  </w:style>
  <w:style w:type="paragraph" w:customStyle="1" w:styleId="SmallText">
    <w:name w:val="Small Text"/>
    <w:pPr>
      <w:spacing w:before="0" w:after="80" w:line="252" w:lineRule="auto"/>
    </w:pPr>
    <w:rPr>
      <w:rFonts w:ascii="Calibri" w:hAnsi="Calibri" w:eastAsia="Noto Sans S Chinese Regular" w:cs="Calibri"/>
      <w:color w:val="687386"/>
      <w:sz w:val="18"/>
    </w:rPr>
  </w:style>
  <w:style w:type="paragraph" w:customStyle="1" w:styleId="Kicker">
    <w:name w:val="Kicker"/>
    <w:pPr>
      <w:keepNext/>
      <w:spacing w:before="0" w:after="160"/>
    </w:pPr>
    <w:rPr>
      <w:rFonts w:ascii="Calibri" w:hAnsi="Calibri" w:eastAsia="Noto Sans S Chinese Medium" w:cs="Calibri"/>
      <w:b/>
      <w:color w:val="2E74B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https://www.postgresql.org/docs/current/ddl-rowsecurity.html" TargetMode="External"/><Relationship Id="rId19" Type="http://schemas.openxmlformats.org/officeDocument/2006/relationships/hyperlink" Target="https://www.postgresql.org/docs/current/ddl-partitioning.html" TargetMode="External"/><Relationship Id="rId20" Type="http://schemas.openxmlformats.org/officeDocument/2006/relationships/hyperlink" Target="https://www.postgresql.org/docs/current/rules-materializedviews.html" TargetMode="External"/><Relationship Id="rId21" Type="http://schemas.openxmlformats.org/officeDocument/2006/relationships/hyperlink" Target="https://www.postgresql.org/docs/current/logicaldecoding-explanation.html" TargetMode="External"/><Relationship Id="rId22" Type="http://schemas.openxmlformats.org/officeDocument/2006/relationships/hyperlink" Target="https://clickhouse.com/docs/materialized-view/incremental-materialized-view" TargetMode="External"/><Relationship Id="rId23" Type="http://schemas.openxmlformats.org/officeDocument/2006/relationships/hyperlink" Target="https://clickhouse.com/docs/materialized-view/refreshable-materialized-view" TargetMode="External"/><Relationship Id="rId24" Type="http://schemas.openxmlformats.org/officeDocument/2006/relationships/hyperlink" Target="https://clickhouse.com/docs/guides/replacing-merge-tree" TargetMode="External"/><Relationship Id="rId25" Type="http://schemas.openxmlformats.org/officeDocument/2006/relationships/hyperlink" Target="https://clickhouse.com/docs/integrations/python" TargetMode="External"/><Relationship Id="rId26" Type="http://schemas.openxmlformats.org/officeDocument/2006/relationships/hyperlink" Target="https://clickhouse.com/docs/operations/access-rights" TargetMode="External"/><Relationship Id="rId27" Type="http://schemas.openxmlformats.org/officeDocument/2006/relationships/hyperlink" Target="https://docs.temporal.io/develop/python/workflows/schedules" TargetMode="External"/><Relationship Id="rId28" Type="http://schemas.openxmlformats.org/officeDocument/2006/relationships/hyperlink" Target="https://docs.temporal.io/workflow-definition" TargetMode="External"/><Relationship Id="rId29" Type="http://schemas.openxmlformats.org/officeDocument/2006/relationships/hyperlink" Target="https://opentelemetry.io/docs/concepts/signals/traces/" TargetMode="External"/><Relationship Id="rId30" Type="http://schemas.openxmlformats.org/officeDocument/2006/relationships/hyperlink" Target="https://opentelemetry.io/docs/concepts/signals/metrics/" TargetMode="External"/><Relationship Id="rId31" Type="http://schemas.openxmlformats.org/officeDocument/2006/relationships/hyperlink" Target="https://www.w3.org/TR/prov-dm/" TargetMode="External"/><Relationship Id="rId32" Type="http://schemas.openxmlformats.org/officeDocument/2006/relationships/hyperlink" Target="https://www.rfc-editor.org/rfc/rfc8785" TargetMode="External"/><Relationship Id="rId33" Type="http://schemas.openxmlformats.org/officeDocument/2006/relationships/hyperlink" Target="https://github.com/cloudevents/spec" TargetMode="External"/><Relationship Id="rId34" Type="http://schemas.openxmlformats.org/officeDocument/2006/relationships/hyperlink" Target="https://www.itl.nist.gov/div898/handbook/pmc/section3/pmc314.htm" TargetMode="External"/><Relationship Id="rId35" Type="http://schemas.openxmlformats.org/officeDocument/2006/relationships/hyperlink" Target="https://www.itl.nist.gov/div898/handbook/eda/section3/eda35h.htm" TargetMode="External"/><Relationship Id="rId36" Type="http://schemas.openxmlformats.org/officeDocument/2006/relationships/hyperlink" Target="https://doi.org/10.1111/j.2517-6161.1995.tb02031.x" TargetMode="External"/><Relationship Id="rId37" Type="http://schemas.openxmlformats.org/officeDocument/2006/relationships/hyperlink" Target="https://doi.org/10.1002/(SICI)1097-0258(19980430)17:8%3C873::AID-SIM779%3E3.0.CO;2-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洞察中心功能设计及实现对齐稿 v0.2</dc:title>
  <dc:subject>Atlas AI 测试平台第七功能：洞察中心的产品、指标、统计、数据与实现边界</dc:subject>
  <dc:creator>Atlas Test Space</dc:creator>
  <cp:keywords>Atlas; Python 3.14; FastAPI; Pydantic; Temporal; Playwright</cp:keywords>
  <dc:description>Status: Draft - architecture baseline accepted. Backend baseline: Python 3.14.</dc:description>
  <cp:lastModifiedBy>Atlas Test Space</cp:lastModifiedBy>
  <cp:revision>11</cp:revision>
  <dcterms:created xsi:type="dcterms:W3CDTF">2013-12-23T23:15:00Z</dcterms:created>
  <dcterms:modified xsi:type="dcterms:W3CDTF">2026-07-13T12:00:00Z</dcterms:modified>
  <cp:category/>
</cp:coreProperties>
</file>