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авг24-П.1.2.1-640ca811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авг24-П.1.2.1-640ca811 от 12:51, 24.08.23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П.1.2.1 Пожар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12:51,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12:51,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12:51,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12:51, 24.08.23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60" w:right="6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ПОО.Морские порты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12:51, 24.08.23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12:51, 24.08.23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12:51,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AutoTest Labels 0010 2023-08-24T12:50:04.969149014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Ответить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12:51, 24.08.23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П.1.2.1 Пожар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Labels 0010 2023-08-24T12:50:04.969149014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≈13:02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≈12:52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12:51, 24.08.23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12:51, 24.08.23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меткам: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1. kosh test2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2. Демонстрация функционала "Статистика-112" с новыми метриками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3. Перемещаемая статья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4. Дополнение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kb/articles/e171ab77-cf4e-4146-a19b-109000dd2fab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559f7ff3-824b-4777-a249-d47485b9d696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kb/articles/45141ee8-a958-43c7-926f-44d7bd1eaf48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kb/articles/ede537d7-4dfc-415e-ba61-a7eead2cd76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