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Слишком долгое ожидание ответа сервера!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Обратитесь к администратору!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ff2f0" w:val="clear"/>
        </w:rPr>
      </w:pP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ЭРА Глонасс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Закрыта Закрыта Завершена 2023-08-24T13:07:01.992270599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Закрыта Закрыта Завершена 2023-08-24T13:07:01.992270599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происшествия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90" w:right="39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color w:val="363a42"/>
          <w:sz w:val="20"/>
          <w:szCs w:val="20"/>
          <w:shd w:fill="ffeb3b" w:val="clear"/>
          <w:rtl w:val="0"/>
        </w:rPr>
        <w:t xml:space="preserve">СЗО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90" w:right="39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color w:val="363a42"/>
          <w:sz w:val="20"/>
          <w:szCs w:val="20"/>
          <w:shd w:fill="ffeb3b" w:val="clear"/>
          <w:rtl w:val="0"/>
        </w:rPr>
        <w:t xml:space="preserve">СЗО.Здавоохранение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waitingOperationIdVar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598c2416-c299-4f86-9e95-2ae8040c5f7d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