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авг29-П.5.1.5-0f1d0880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авг29-П.5.1.5-0f1d0880 от 12:57, 29.08.23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12:57,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12:57,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12:57,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Видеоаналитика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12:57, 29.08.23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12:57, 29.08.23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12:57, 29.08.23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2023-08-29T12:56:55.158252173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12:57, 29.08.23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2023-08-29T12:56:55.158252173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≈12:58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≈13:02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≈13:04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≈13:06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≈13:08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≈13:10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≈13:12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≈13:14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≈13:16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≈13:18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≈13:20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≈13:22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≈13:24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≈13:26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12:58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2022-12-01T17:08:29.737956328 N 0270 AutoTest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+7(918)419-43-51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12:58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31415926535807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AutoTest dds-Антитеррор 2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12:57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12:57, 29.08.23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12:57, 29.08.23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C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2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3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4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5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5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6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9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9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C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D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D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E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E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F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F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0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0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1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1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2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6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7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7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7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7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8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8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9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9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9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9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A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A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A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A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B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B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