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Факс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7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Dicts INC 0010 Проверка подсказки КП 2023-09-15T17:22:21.850831274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Dicts INC 0010 Проверка подсказки КП 2023-09-15T17:22:21.850831274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