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AB3" w:rsidRDefault="003E7881">
      <w:pPr>
        <w:spacing w:after="1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Company Bankruptcy Prediction</w:t>
      </w:r>
    </w:p>
    <w:p w:rsidR="00700AB3" w:rsidRDefault="00700AB3">
      <w:pPr>
        <w:spacing w:after="160" w:line="240" w:lineRule="auto"/>
        <w:jc w:val="center"/>
        <w:rPr>
          <w:rFonts w:ascii="Times New Roman" w:eastAsia="Times New Roman" w:hAnsi="Times New Roman" w:cs="Times New Roman"/>
          <w:b/>
          <w:sz w:val="24"/>
          <w:szCs w:val="24"/>
        </w:rPr>
      </w:pPr>
    </w:p>
    <w:p w:rsidR="00700AB3" w:rsidRDefault="00700AB3">
      <w:pPr>
        <w:spacing w:after="160" w:line="240" w:lineRule="auto"/>
        <w:rPr>
          <w:rFonts w:ascii="Times New Roman" w:eastAsia="Times New Roman" w:hAnsi="Times New Roman" w:cs="Times New Roman"/>
          <w:b/>
          <w:sz w:val="24"/>
          <w:szCs w:val="24"/>
        </w:rPr>
      </w:pPr>
    </w:p>
    <w:p w:rsidR="00700AB3" w:rsidRDefault="00700AB3">
      <w:pPr>
        <w:spacing w:after="160" w:line="240" w:lineRule="auto"/>
        <w:jc w:val="center"/>
        <w:rPr>
          <w:rFonts w:ascii="Times New Roman" w:eastAsia="Times New Roman" w:hAnsi="Times New Roman" w:cs="Times New Roman"/>
          <w:b/>
          <w:sz w:val="24"/>
          <w:szCs w:val="24"/>
        </w:rPr>
      </w:pPr>
      <w:bookmarkStart w:id="0" w:name="_heading=h.gjdgxs" w:colFirst="0" w:colLast="0"/>
      <w:bookmarkEnd w:id="0"/>
    </w:p>
    <w:p w:rsidR="00700AB3" w:rsidRDefault="00700AB3">
      <w:pPr>
        <w:spacing w:after="160" w:line="240" w:lineRule="auto"/>
        <w:jc w:val="center"/>
        <w:rPr>
          <w:rFonts w:ascii="Times New Roman" w:eastAsia="Times New Roman" w:hAnsi="Times New Roman" w:cs="Times New Roman"/>
          <w:b/>
          <w:sz w:val="24"/>
          <w:szCs w:val="24"/>
        </w:rPr>
      </w:pPr>
      <w:bookmarkStart w:id="1" w:name="_heading=h.e4ddg4pf13uw" w:colFirst="0" w:colLast="0"/>
      <w:bookmarkEnd w:id="1"/>
    </w:p>
    <w:p w:rsidR="00700AB3" w:rsidRDefault="00700AB3">
      <w:pPr>
        <w:spacing w:after="160" w:line="240" w:lineRule="auto"/>
        <w:jc w:val="center"/>
        <w:rPr>
          <w:rFonts w:ascii="Times New Roman" w:eastAsia="Times New Roman" w:hAnsi="Times New Roman" w:cs="Times New Roman"/>
          <w:b/>
          <w:sz w:val="24"/>
          <w:szCs w:val="24"/>
        </w:rPr>
      </w:pPr>
      <w:bookmarkStart w:id="2" w:name="_heading=h.ir89u9v6wmtt" w:colFirst="0" w:colLast="0"/>
      <w:bookmarkEnd w:id="2"/>
    </w:p>
    <w:p w:rsidR="00700AB3" w:rsidRDefault="00700AB3">
      <w:pPr>
        <w:spacing w:after="160" w:line="240" w:lineRule="auto"/>
        <w:jc w:val="center"/>
        <w:rPr>
          <w:rFonts w:ascii="Times New Roman" w:eastAsia="Times New Roman" w:hAnsi="Times New Roman" w:cs="Times New Roman"/>
          <w:b/>
          <w:sz w:val="24"/>
          <w:szCs w:val="24"/>
        </w:rPr>
      </w:pPr>
      <w:bookmarkStart w:id="3" w:name="_heading=h.bi42sm77osdm" w:colFirst="0" w:colLast="0"/>
      <w:bookmarkEnd w:id="3"/>
    </w:p>
    <w:p w:rsidR="00700AB3" w:rsidRDefault="00700AB3">
      <w:pPr>
        <w:spacing w:after="160" w:line="240" w:lineRule="auto"/>
        <w:jc w:val="center"/>
        <w:rPr>
          <w:rFonts w:ascii="Times New Roman" w:eastAsia="Times New Roman" w:hAnsi="Times New Roman" w:cs="Times New Roman"/>
          <w:b/>
          <w:sz w:val="24"/>
          <w:szCs w:val="24"/>
        </w:rPr>
      </w:pPr>
      <w:bookmarkStart w:id="4" w:name="_heading=h.bmaayt8lx3tw" w:colFirst="0" w:colLast="0"/>
      <w:bookmarkEnd w:id="4"/>
    </w:p>
    <w:p w:rsidR="00700AB3" w:rsidRDefault="00700AB3">
      <w:pPr>
        <w:spacing w:after="160" w:line="240" w:lineRule="auto"/>
        <w:jc w:val="center"/>
        <w:rPr>
          <w:rFonts w:ascii="Times New Roman" w:eastAsia="Times New Roman" w:hAnsi="Times New Roman" w:cs="Times New Roman"/>
          <w:b/>
          <w:sz w:val="24"/>
          <w:szCs w:val="24"/>
        </w:rPr>
      </w:pPr>
      <w:bookmarkStart w:id="5" w:name="_heading=h.3woy5htg9spj" w:colFirst="0" w:colLast="0"/>
      <w:bookmarkEnd w:id="5"/>
    </w:p>
    <w:p w:rsidR="00700AB3" w:rsidRDefault="00700AB3">
      <w:pPr>
        <w:spacing w:after="160" w:line="240" w:lineRule="auto"/>
        <w:jc w:val="center"/>
        <w:rPr>
          <w:rFonts w:ascii="Times New Roman" w:eastAsia="Times New Roman" w:hAnsi="Times New Roman" w:cs="Times New Roman"/>
          <w:b/>
          <w:sz w:val="24"/>
          <w:szCs w:val="24"/>
        </w:rPr>
      </w:pPr>
      <w:bookmarkStart w:id="6" w:name="_heading=h.6gzth5a0esp1" w:colFirst="0" w:colLast="0"/>
      <w:bookmarkEnd w:id="6"/>
    </w:p>
    <w:p w:rsidR="00700AB3" w:rsidRDefault="00700AB3">
      <w:pPr>
        <w:spacing w:after="160" w:line="240" w:lineRule="auto"/>
        <w:jc w:val="center"/>
        <w:rPr>
          <w:rFonts w:ascii="Times New Roman" w:eastAsia="Times New Roman" w:hAnsi="Times New Roman" w:cs="Times New Roman"/>
          <w:b/>
          <w:sz w:val="24"/>
          <w:szCs w:val="24"/>
        </w:rPr>
      </w:pPr>
      <w:bookmarkStart w:id="7" w:name="_heading=h.c5f134hz6adq" w:colFirst="0" w:colLast="0"/>
      <w:bookmarkEnd w:id="7"/>
    </w:p>
    <w:p w:rsidR="00700AB3" w:rsidRDefault="00700AB3">
      <w:pPr>
        <w:spacing w:after="160" w:line="240" w:lineRule="auto"/>
        <w:jc w:val="center"/>
        <w:rPr>
          <w:rFonts w:ascii="Times New Roman" w:eastAsia="Times New Roman" w:hAnsi="Times New Roman" w:cs="Times New Roman"/>
          <w:b/>
          <w:sz w:val="24"/>
          <w:szCs w:val="24"/>
        </w:rPr>
      </w:pPr>
      <w:bookmarkStart w:id="8" w:name="_heading=h.mgbfomo25ukx" w:colFirst="0" w:colLast="0"/>
      <w:bookmarkEnd w:id="8"/>
    </w:p>
    <w:p w:rsidR="00700AB3" w:rsidRDefault="00700AB3">
      <w:pPr>
        <w:spacing w:after="160" w:line="240" w:lineRule="auto"/>
        <w:jc w:val="center"/>
        <w:rPr>
          <w:rFonts w:ascii="Times New Roman" w:eastAsia="Times New Roman" w:hAnsi="Times New Roman" w:cs="Times New Roman"/>
          <w:b/>
          <w:sz w:val="24"/>
          <w:szCs w:val="24"/>
        </w:rPr>
      </w:pPr>
      <w:bookmarkStart w:id="9" w:name="_heading=h.bkzzn7q2gvbf" w:colFirst="0" w:colLast="0"/>
      <w:bookmarkEnd w:id="9"/>
    </w:p>
    <w:p w:rsidR="00700AB3" w:rsidRDefault="00700AB3">
      <w:pPr>
        <w:spacing w:after="160" w:line="240" w:lineRule="auto"/>
        <w:jc w:val="center"/>
        <w:rPr>
          <w:rFonts w:ascii="Times New Roman" w:eastAsia="Times New Roman" w:hAnsi="Times New Roman" w:cs="Times New Roman"/>
          <w:b/>
          <w:sz w:val="24"/>
          <w:szCs w:val="24"/>
        </w:rPr>
      </w:pPr>
      <w:bookmarkStart w:id="10" w:name="_heading=h.dv58872ytfgg" w:colFirst="0" w:colLast="0"/>
      <w:bookmarkEnd w:id="10"/>
    </w:p>
    <w:p w:rsidR="00700AB3" w:rsidRDefault="00700AB3">
      <w:pPr>
        <w:spacing w:after="160" w:line="240" w:lineRule="auto"/>
        <w:jc w:val="center"/>
        <w:rPr>
          <w:rFonts w:ascii="Times New Roman" w:eastAsia="Times New Roman" w:hAnsi="Times New Roman" w:cs="Times New Roman"/>
          <w:b/>
          <w:sz w:val="24"/>
          <w:szCs w:val="24"/>
        </w:rPr>
      </w:pPr>
      <w:bookmarkStart w:id="11" w:name="_heading=h.2d3ed0tvgmqr" w:colFirst="0" w:colLast="0"/>
      <w:bookmarkEnd w:id="11"/>
    </w:p>
    <w:p w:rsidR="00700AB3" w:rsidRDefault="00700AB3">
      <w:pPr>
        <w:spacing w:after="160" w:line="240" w:lineRule="auto"/>
        <w:jc w:val="center"/>
        <w:rPr>
          <w:rFonts w:ascii="Times New Roman" w:eastAsia="Times New Roman" w:hAnsi="Times New Roman" w:cs="Times New Roman"/>
          <w:b/>
          <w:sz w:val="24"/>
          <w:szCs w:val="24"/>
        </w:rPr>
      </w:pPr>
      <w:bookmarkStart w:id="12" w:name="_heading=h.b7rceii26cob" w:colFirst="0" w:colLast="0"/>
      <w:bookmarkEnd w:id="12"/>
    </w:p>
    <w:p w:rsidR="00700AB3" w:rsidRDefault="00700AB3">
      <w:pPr>
        <w:spacing w:after="160" w:line="240" w:lineRule="auto"/>
        <w:jc w:val="center"/>
        <w:rPr>
          <w:rFonts w:ascii="Times New Roman" w:eastAsia="Times New Roman" w:hAnsi="Times New Roman" w:cs="Times New Roman"/>
          <w:b/>
          <w:sz w:val="24"/>
          <w:szCs w:val="24"/>
        </w:rPr>
      </w:pPr>
      <w:bookmarkStart w:id="13" w:name="_heading=h.w1m7u6xpr1sz" w:colFirst="0" w:colLast="0"/>
      <w:bookmarkEnd w:id="13"/>
    </w:p>
    <w:p w:rsidR="00700AB3" w:rsidRDefault="00700AB3">
      <w:pPr>
        <w:spacing w:after="160" w:line="240" w:lineRule="auto"/>
        <w:jc w:val="center"/>
        <w:rPr>
          <w:rFonts w:ascii="Times New Roman" w:eastAsia="Times New Roman" w:hAnsi="Times New Roman" w:cs="Times New Roman"/>
          <w:b/>
          <w:sz w:val="24"/>
          <w:szCs w:val="24"/>
        </w:rPr>
      </w:pPr>
      <w:bookmarkStart w:id="14" w:name="_heading=h.o2f8ooxm2dgl" w:colFirst="0" w:colLast="0"/>
      <w:bookmarkEnd w:id="14"/>
    </w:p>
    <w:p w:rsidR="00700AB3" w:rsidRDefault="00700AB3">
      <w:pPr>
        <w:spacing w:after="160" w:line="240" w:lineRule="auto"/>
        <w:jc w:val="center"/>
        <w:rPr>
          <w:rFonts w:ascii="Times New Roman" w:eastAsia="Times New Roman" w:hAnsi="Times New Roman" w:cs="Times New Roman"/>
          <w:b/>
          <w:sz w:val="24"/>
          <w:szCs w:val="24"/>
        </w:rPr>
      </w:pPr>
      <w:bookmarkStart w:id="15" w:name="_heading=h.fqh9mlnam269" w:colFirst="0" w:colLast="0"/>
      <w:bookmarkEnd w:id="15"/>
    </w:p>
    <w:p w:rsidR="00700AB3" w:rsidRDefault="00700AB3">
      <w:pPr>
        <w:spacing w:after="160" w:line="240" w:lineRule="auto"/>
        <w:jc w:val="center"/>
        <w:rPr>
          <w:rFonts w:ascii="Times New Roman" w:eastAsia="Times New Roman" w:hAnsi="Times New Roman" w:cs="Times New Roman"/>
          <w:b/>
          <w:sz w:val="24"/>
          <w:szCs w:val="24"/>
        </w:rPr>
      </w:pPr>
      <w:bookmarkStart w:id="16" w:name="_heading=h.izt746jnyq92" w:colFirst="0" w:colLast="0"/>
      <w:bookmarkEnd w:id="16"/>
    </w:p>
    <w:p w:rsidR="00700AB3" w:rsidRDefault="00700AB3">
      <w:pPr>
        <w:spacing w:after="160" w:line="240" w:lineRule="auto"/>
        <w:jc w:val="center"/>
        <w:rPr>
          <w:rFonts w:ascii="Times New Roman" w:eastAsia="Times New Roman" w:hAnsi="Times New Roman" w:cs="Times New Roman"/>
          <w:b/>
          <w:sz w:val="24"/>
          <w:szCs w:val="24"/>
        </w:rPr>
      </w:pPr>
      <w:bookmarkStart w:id="17" w:name="_heading=h.7vxzrtudm1t6" w:colFirst="0" w:colLast="0"/>
      <w:bookmarkEnd w:id="17"/>
    </w:p>
    <w:p w:rsidR="00700AB3" w:rsidRDefault="00700AB3">
      <w:pPr>
        <w:spacing w:after="160" w:line="240" w:lineRule="auto"/>
        <w:jc w:val="center"/>
        <w:rPr>
          <w:rFonts w:ascii="Times New Roman" w:eastAsia="Times New Roman" w:hAnsi="Times New Roman" w:cs="Times New Roman"/>
          <w:b/>
          <w:sz w:val="24"/>
          <w:szCs w:val="24"/>
        </w:rPr>
      </w:pPr>
      <w:bookmarkStart w:id="18" w:name="_heading=h.fcpby78idy88" w:colFirst="0" w:colLast="0"/>
      <w:bookmarkEnd w:id="18"/>
    </w:p>
    <w:p w:rsidR="00700AB3" w:rsidRDefault="00700AB3">
      <w:pPr>
        <w:spacing w:after="160" w:line="240" w:lineRule="auto"/>
        <w:jc w:val="center"/>
        <w:rPr>
          <w:rFonts w:ascii="Times New Roman" w:eastAsia="Times New Roman" w:hAnsi="Times New Roman" w:cs="Times New Roman"/>
          <w:b/>
          <w:sz w:val="24"/>
          <w:szCs w:val="24"/>
        </w:rPr>
      </w:pPr>
      <w:bookmarkStart w:id="19" w:name="_heading=h.v2mpoluqtiug" w:colFirst="0" w:colLast="0"/>
      <w:bookmarkEnd w:id="19"/>
    </w:p>
    <w:p w:rsidR="00700AB3" w:rsidRDefault="003E7881">
      <w:pPr>
        <w:spacing w:after="160" w:line="240" w:lineRule="auto"/>
        <w:jc w:val="center"/>
        <w:rPr>
          <w:rFonts w:ascii="Times New Roman" w:eastAsia="Times New Roman" w:hAnsi="Times New Roman" w:cs="Times New Roman"/>
          <w:b/>
          <w:sz w:val="24"/>
          <w:szCs w:val="24"/>
        </w:rPr>
      </w:pPr>
      <w:bookmarkStart w:id="20" w:name="_heading=h.i7y2oe2o437s" w:colFirst="0" w:colLast="0"/>
      <w:bookmarkEnd w:id="20"/>
      <w:r>
        <w:rPr>
          <w:rFonts w:ascii="Times New Roman" w:eastAsia="Times New Roman" w:hAnsi="Times New Roman" w:cs="Times New Roman"/>
          <w:b/>
          <w:sz w:val="24"/>
          <w:szCs w:val="24"/>
        </w:rPr>
        <w:t>CUNY School of Professional Studies</w:t>
      </w:r>
    </w:p>
    <w:p w:rsidR="00700AB3" w:rsidRDefault="003E7881">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698 Final Project</w:t>
      </w:r>
    </w:p>
    <w:p w:rsidR="00700AB3" w:rsidRDefault="003E7881">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w:t>
      </w:r>
      <w:proofErr w:type="spellStart"/>
      <w:r>
        <w:rPr>
          <w:rFonts w:ascii="Times New Roman" w:eastAsia="Times New Roman" w:hAnsi="Times New Roman" w:cs="Times New Roman"/>
          <w:b/>
          <w:sz w:val="24"/>
          <w:szCs w:val="24"/>
        </w:rPr>
        <w:t>Nasrin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Khansari</w:t>
      </w:r>
      <w:proofErr w:type="spellEnd"/>
    </w:p>
    <w:p w:rsidR="00700AB3" w:rsidRDefault="00700AB3">
      <w:pPr>
        <w:spacing w:after="160" w:line="240" w:lineRule="auto"/>
        <w:jc w:val="center"/>
        <w:rPr>
          <w:rFonts w:ascii="Times New Roman" w:eastAsia="Times New Roman" w:hAnsi="Times New Roman" w:cs="Times New Roman"/>
          <w:b/>
          <w:sz w:val="24"/>
          <w:szCs w:val="24"/>
        </w:rPr>
      </w:pPr>
      <w:bookmarkStart w:id="21" w:name="_heading=h.wcz54lha2e04" w:colFirst="0" w:colLast="0"/>
      <w:bookmarkEnd w:id="21"/>
    </w:p>
    <w:p w:rsidR="00700AB3" w:rsidRDefault="00700AB3">
      <w:pPr>
        <w:spacing w:after="160" w:line="240" w:lineRule="auto"/>
        <w:jc w:val="center"/>
        <w:rPr>
          <w:rFonts w:ascii="Times New Roman" w:eastAsia="Times New Roman" w:hAnsi="Times New Roman" w:cs="Times New Roman"/>
          <w:b/>
          <w:sz w:val="24"/>
          <w:szCs w:val="24"/>
        </w:rPr>
      </w:pPr>
      <w:bookmarkStart w:id="22" w:name="_heading=h.6kzuphgk7t5w" w:colFirst="0" w:colLast="0"/>
      <w:bookmarkEnd w:id="22"/>
    </w:p>
    <w:p w:rsidR="00700AB3" w:rsidRDefault="00700AB3">
      <w:pPr>
        <w:spacing w:after="160" w:line="240" w:lineRule="auto"/>
        <w:jc w:val="center"/>
        <w:rPr>
          <w:rFonts w:ascii="Times New Roman" w:eastAsia="Times New Roman" w:hAnsi="Times New Roman" w:cs="Times New Roman"/>
          <w:b/>
          <w:sz w:val="24"/>
          <w:szCs w:val="24"/>
        </w:rPr>
      </w:pPr>
      <w:bookmarkStart w:id="23" w:name="_heading=h.q5uiowleocj" w:colFirst="0" w:colLast="0"/>
      <w:bookmarkEnd w:id="23"/>
    </w:p>
    <w:p w:rsidR="00700AB3" w:rsidRDefault="00700AB3">
      <w:pPr>
        <w:spacing w:after="160" w:line="240" w:lineRule="auto"/>
        <w:jc w:val="center"/>
        <w:rPr>
          <w:rFonts w:ascii="Times New Roman" w:eastAsia="Times New Roman" w:hAnsi="Times New Roman" w:cs="Times New Roman"/>
          <w:b/>
          <w:sz w:val="24"/>
          <w:szCs w:val="24"/>
        </w:rPr>
      </w:pPr>
      <w:bookmarkStart w:id="24" w:name="_heading=h.i8dmv6u3wx3k" w:colFirst="0" w:colLast="0"/>
      <w:bookmarkEnd w:id="24"/>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bankruptcy prediction is critical for financial institutions to make appropriate lending decisions. In general, the input variables (or features), such as financial ratios, and prediction techniques, such as statistical and machine learning techn</w:t>
      </w:r>
      <w:r>
        <w:rPr>
          <w:rFonts w:ascii="Times New Roman" w:eastAsia="Times New Roman" w:hAnsi="Times New Roman" w:cs="Times New Roman"/>
          <w:sz w:val="24"/>
          <w:szCs w:val="24"/>
        </w:rPr>
        <w:t>iques, are the two most important factors affecting the prediction performance. Bankruptcy prediction is important for financial institutions to make proper business decisions.</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variables such as financial ratios and prediction techniques such as </w:t>
      </w:r>
      <w:r>
        <w:rPr>
          <w:rFonts w:ascii="Times New Roman" w:eastAsia="Times New Roman" w:hAnsi="Times New Roman" w:cs="Times New Roman"/>
          <w:sz w:val="24"/>
          <w:szCs w:val="24"/>
        </w:rPr>
        <w:t>statistical and machine learning techniques are the two most important factors affecting the prediction performance. In this paper, we will be analyzing which different categories of financial ratios are of the most importance in predicting bankruptcy.</w:t>
      </w: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w:t>
      </w:r>
      <w:r>
        <w:rPr>
          <w:rFonts w:ascii="Times New Roman" w:eastAsia="Times New Roman" w:hAnsi="Times New Roman" w:cs="Times New Roman"/>
          <w:b/>
          <w:sz w:val="24"/>
          <w:szCs w:val="24"/>
        </w:rPr>
        <w:t>a Source</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data were collected from the Taiwan Economic Journal for the years 1999–2009. Company bankruptcy was defined based on the business regulations of the Taiwan Stock Exchange. In addition, there were two criteria used in collecting the</w:t>
      </w:r>
      <w:r>
        <w:rPr>
          <w:rFonts w:ascii="Times New Roman" w:eastAsia="Times New Roman" w:hAnsi="Times New Roman" w:cs="Times New Roman"/>
          <w:sz w:val="24"/>
          <w:szCs w:val="24"/>
        </w:rPr>
        <w:t xml:space="preserve"> data samples. First, the sample companies had to have at least three years of complete public information before the occurrence of the financial crisis. Second, there should be a sufficient number of comparable companies of similar size in the same indust</w:t>
      </w:r>
      <w:r>
        <w:rPr>
          <w:rFonts w:ascii="Times New Roman" w:eastAsia="Times New Roman" w:hAnsi="Times New Roman" w:cs="Times New Roman"/>
          <w:sz w:val="24"/>
          <w:szCs w:val="24"/>
        </w:rPr>
        <w:t>ry for comparison of the bankrupt and non-bankrupt cases. The resultant sample includes companies from the manufacturing industry composed of industrial and electronics companies (346 companies), the service industry composed of shipping, tourism, and reta</w:t>
      </w:r>
      <w:r>
        <w:rPr>
          <w:rFonts w:ascii="Times New Roman" w:eastAsia="Times New Roman" w:hAnsi="Times New Roman" w:cs="Times New Roman"/>
          <w:sz w:val="24"/>
          <w:szCs w:val="24"/>
        </w:rPr>
        <w:t>il companies (39 companies), and others (93 companies), but not financial companies.</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noted that if there is a significant difference between the number of bankrupt and non-bankrupt cases, this results in a class imbalance problem, which is lik</w:t>
      </w:r>
      <w:r>
        <w:rPr>
          <w:rFonts w:ascii="Times New Roman" w:eastAsia="Times New Roman" w:hAnsi="Times New Roman" w:cs="Times New Roman"/>
          <w:sz w:val="24"/>
          <w:szCs w:val="24"/>
        </w:rPr>
        <w:t xml:space="preserve">ely to lead to </w:t>
      </w:r>
      <w:proofErr w:type="gramStart"/>
      <w:r>
        <w:rPr>
          <w:rFonts w:ascii="Times New Roman" w:eastAsia="Times New Roman" w:hAnsi="Times New Roman" w:cs="Times New Roman"/>
          <w:sz w:val="24"/>
          <w:szCs w:val="24"/>
        </w:rPr>
        <w:t>a degradation</w:t>
      </w:r>
      <w:proofErr w:type="gramEnd"/>
      <w:r>
        <w:rPr>
          <w:rFonts w:ascii="Times New Roman" w:eastAsia="Times New Roman" w:hAnsi="Times New Roman" w:cs="Times New Roman"/>
          <w:sz w:val="24"/>
          <w:szCs w:val="24"/>
        </w:rPr>
        <w:t xml:space="preserve"> in the final prediction performance. Therefore, we use the method of stratified sampling (Altman, 1968) to collect the same number of bankrupt and non-bankrupt cases.</w:t>
      </w: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Bankruptcy or business failure can have a negat</w:t>
      </w:r>
      <w:r>
        <w:rPr>
          <w:rFonts w:ascii="Times New Roman" w:eastAsia="Times New Roman" w:hAnsi="Times New Roman" w:cs="Times New Roman"/>
          <w:sz w:val="24"/>
          <w:szCs w:val="24"/>
        </w:rPr>
        <w:t>ive impact in both the industry and the global economy. Many business leaders, researchers, investors and governments have studied many ways to identify the risk of bankruptcy failures in business. Bankruptcy prediction is important to the companies itself</w:t>
      </w:r>
      <w:r>
        <w:rPr>
          <w:rFonts w:ascii="Times New Roman" w:eastAsia="Times New Roman" w:hAnsi="Times New Roman" w:cs="Times New Roman"/>
          <w:sz w:val="24"/>
          <w:szCs w:val="24"/>
        </w:rPr>
        <w:t xml:space="preserve"> because the business leaders can utilize the data that is driving their companies down and try to avoid it. Financial ratios can be classified into seven categories: solvency, profitability, cash flows ratios, capital structure ratios, turnover ratios, gr</w:t>
      </w:r>
      <w:r>
        <w:rPr>
          <w:rFonts w:ascii="Times New Roman" w:eastAsia="Times New Roman" w:hAnsi="Times New Roman" w:cs="Times New Roman"/>
          <w:sz w:val="24"/>
          <w:szCs w:val="24"/>
        </w:rPr>
        <w:t xml:space="preserve">owth, and etc. The data were collected from the Taiwan Economic Journal for the years 1999 to 2009. Company bankruptcy was defined based on the business regulations of the Taiwan Stock Exchange. </w:t>
      </w:r>
    </w:p>
    <w:p w:rsidR="008A5099" w:rsidRDefault="008A5099">
      <w:pPr>
        <w:spacing w:after="200" w:line="240" w:lineRule="auto"/>
        <w:ind w:firstLine="360"/>
        <w:rPr>
          <w:rFonts w:ascii="Times New Roman" w:eastAsia="Times New Roman" w:hAnsi="Times New Roman" w:cs="Times New Roman"/>
          <w:sz w:val="24"/>
          <w:szCs w:val="24"/>
        </w:rPr>
      </w:pPr>
    </w:p>
    <w:p w:rsidR="008A5099" w:rsidRDefault="008A5099">
      <w:pPr>
        <w:spacing w:after="200" w:line="240" w:lineRule="auto"/>
        <w:ind w:firstLine="360"/>
        <w:rPr>
          <w:rFonts w:ascii="Times New Roman" w:eastAsia="Times New Roman" w:hAnsi="Times New Roman" w:cs="Times New Roman"/>
          <w:sz w:val="24"/>
          <w:szCs w:val="24"/>
        </w:rPr>
      </w:pPr>
    </w:p>
    <w:p w:rsidR="008A5099" w:rsidRDefault="008A5099">
      <w:pPr>
        <w:spacing w:after="200" w:line="240" w:lineRule="auto"/>
        <w:ind w:firstLine="360"/>
        <w:rPr>
          <w:rFonts w:ascii="Times New Roman" w:eastAsia="Times New Roman" w:hAnsi="Times New Roman" w:cs="Times New Roman"/>
          <w:sz w:val="24"/>
          <w:szCs w:val="24"/>
        </w:rPr>
      </w:pPr>
    </w:p>
    <w:p w:rsidR="00700AB3" w:rsidRDefault="003E7881">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700AB3" w:rsidRDefault="00700AB3">
      <w:pPr>
        <w:spacing w:line="240" w:lineRule="auto"/>
        <w:rPr>
          <w:rFonts w:ascii="Times New Roman" w:eastAsia="Times New Roman" w:hAnsi="Times New Roman" w:cs="Times New Roman"/>
          <w:b/>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Accounting-based vs. market-price indicat</w:t>
      </w:r>
      <w:r>
        <w:rPr>
          <w:rFonts w:ascii="Times New Roman" w:eastAsia="Times New Roman" w:hAnsi="Times New Roman" w:cs="Times New Roman"/>
          <w:sz w:val="24"/>
          <w:szCs w:val="24"/>
        </w:rPr>
        <w:t>ors.</w:t>
      </w:r>
      <w:proofErr w:type="gramEnd"/>
      <w:r>
        <w:rPr>
          <w:rFonts w:ascii="Times New Roman" w:eastAsia="Times New Roman" w:hAnsi="Times New Roman" w:cs="Times New Roman"/>
          <w:sz w:val="24"/>
          <w:szCs w:val="24"/>
        </w:rPr>
        <w:t xml:space="preserve"> </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have been several studies comparing the relative importance of accounting-based ratios and market-price variables. Some experimental studies indicate that market-price variables have stronger predictive power in bankruptcy analysis. However, t</w:t>
      </w:r>
      <w:r>
        <w:rPr>
          <w:rFonts w:ascii="Times New Roman" w:eastAsia="Times New Roman" w:hAnsi="Times New Roman" w:cs="Times New Roman"/>
          <w:sz w:val="24"/>
          <w:szCs w:val="24"/>
        </w:rPr>
        <w:t xml:space="preserve">he evidence is mixed. Shumway (2001) suggests a model based on both accounting-based and market-price variables that produces quite accurate forecasts. On the other hand, </w:t>
      </w:r>
      <w:proofErr w:type="spellStart"/>
      <w:r>
        <w:rPr>
          <w:rFonts w:ascii="Times New Roman" w:eastAsia="Times New Roman" w:hAnsi="Times New Roman" w:cs="Times New Roman"/>
          <w:sz w:val="24"/>
          <w:szCs w:val="24"/>
        </w:rPr>
        <w:t>Hillegeist</w:t>
      </w:r>
      <w:proofErr w:type="spellEnd"/>
      <w:r>
        <w:rPr>
          <w:rFonts w:ascii="Times New Roman" w:eastAsia="Times New Roman" w:hAnsi="Times New Roman" w:cs="Times New Roman"/>
          <w:sz w:val="24"/>
          <w:szCs w:val="24"/>
        </w:rPr>
        <w:t xml:space="preserve"> et al. (2004) evaluate whether Altman’s (1968) Z-Score and </w:t>
      </w:r>
      <w:proofErr w:type="spellStart"/>
      <w:r>
        <w:rPr>
          <w:rFonts w:ascii="Times New Roman" w:eastAsia="Times New Roman" w:hAnsi="Times New Roman" w:cs="Times New Roman"/>
          <w:sz w:val="24"/>
          <w:szCs w:val="24"/>
        </w:rPr>
        <w:t>Ohlson’s</w:t>
      </w:r>
      <w:proofErr w:type="spellEnd"/>
      <w:r>
        <w:rPr>
          <w:rFonts w:ascii="Times New Roman" w:eastAsia="Times New Roman" w:hAnsi="Times New Roman" w:cs="Times New Roman"/>
          <w:sz w:val="24"/>
          <w:szCs w:val="24"/>
        </w:rPr>
        <w:t xml:space="preserve"> (1980)</w:t>
      </w:r>
      <w:r>
        <w:rPr>
          <w:rFonts w:ascii="Times New Roman" w:eastAsia="Times New Roman" w:hAnsi="Times New Roman" w:cs="Times New Roman"/>
          <w:sz w:val="24"/>
          <w:szCs w:val="24"/>
        </w:rPr>
        <w:t xml:space="preserve"> O-Score effectively summarize publicly available information about the probability of bankruptcy. They conclude that market-based probability estimates of corporate bankruptcy (based on the Black-Scholes-Merton option-pricing model) are superior, even rec</w:t>
      </w:r>
      <w:r>
        <w:rPr>
          <w:rFonts w:ascii="Times New Roman" w:eastAsia="Times New Roman" w:hAnsi="Times New Roman" w:cs="Times New Roman"/>
          <w:sz w:val="24"/>
          <w:szCs w:val="24"/>
        </w:rPr>
        <w:t>ommending that future research should focus exclusively on market-price indicators.</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Alternative bankruptcy predictors.</w:t>
      </w:r>
      <w:proofErr w:type="gramEnd"/>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smaller number of studies have investigated other potentially important bankruptcy predictors, including corporate governance indicat</w:t>
      </w:r>
      <w:r>
        <w:rPr>
          <w:rFonts w:ascii="Times New Roman" w:eastAsia="Times New Roman" w:hAnsi="Times New Roman" w:cs="Times New Roman"/>
          <w:sz w:val="24"/>
          <w:szCs w:val="24"/>
        </w:rPr>
        <w:t>ors (such as stockholder concentration/structure), analyst estimates/forecasts, credit ratings changes, macroeconomic factors, and other industry and firm-specific factors (Jones et al. 2015, 2017).</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accounting-based measures (such as financial </w:t>
      </w:r>
      <w:r>
        <w:rPr>
          <w:rFonts w:ascii="Times New Roman" w:eastAsia="Times New Roman" w:hAnsi="Times New Roman" w:cs="Times New Roman"/>
          <w:sz w:val="24"/>
          <w:szCs w:val="24"/>
        </w:rPr>
        <w:t>ratios) to predict bankruptcy</w:t>
      </w: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long history (Beaver 1966; Altman 1968; </w:t>
      </w:r>
      <w:proofErr w:type="spellStart"/>
      <w:r>
        <w:rPr>
          <w:rFonts w:ascii="Times New Roman" w:eastAsia="Times New Roman" w:hAnsi="Times New Roman" w:cs="Times New Roman"/>
          <w:sz w:val="24"/>
          <w:szCs w:val="24"/>
        </w:rPr>
        <w:t>Zmijewski</w:t>
      </w:r>
      <w:proofErr w:type="spellEnd"/>
      <w:r>
        <w:rPr>
          <w:rFonts w:ascii="Times New Roman" w:eastAsia="Times New Roman" w:hAnsi="Times New Roman" w:cs="Times New Roman"/>
          <w:sz w:val="24"/>
          <w:szCs w:val="24"/>
        </w:rPr>
        <w:t xml:space="preserve"> 1984). Beaver et al. (2005) observe that accounting-based predictors have proven remarkably robust over a 40-year period (1962–2002). Across many empirical studies, </w:t>
      </w:r>
      <w:proofErr w:type="gramStart"/>
      <w:r>
        <w:rPr>
          <w:rFonts w:ascii="Times New Roman" w:eastAsia="Times New Roman" w:hAnsi="Times New Roman" w:cs="Times New Roman"/>
          <w:sz w:val="24"/>
          <w:szCs w:val="24"/>
        </w:rPr>
        <w:t>a range of accounting based measure</w:t>
      </w:r>
      <w:r>
        <w:rPr>
          <w:rFonts w:ascii="Times New Roman" w:eastAsia="Times New Roman" w:hAnsi="Times New Roman" w:cs="Times New Roman"/>
          <w:sz w:val="24"/>
          <w:szCs w:val="24"/>
        </w:rPr>
        <w:t>s have</w:t>
      </w:r>
      <w:proofErr w:type="gramEnd"/>
      <w:r>
        <w:rPr>
          <w:rFonts w:ascii="Times New Roman" w:eastAsia="Times New Roman" w:hAnsi="Times New Roman" w:cs="Times New Roman"/>
          <w:sz w:val="24"/>
          <w:szCs w:val="24"/>
        </w:rPr>
        <w:t xml:space="preserve"> been shown to have predictive power in corporate bankruptcy. However, measures associated with working capital, cash flow, earnings, and leverage have surfaced as key predictors of firm financial distress in many studies (Altman 2002; Beaver et al. </w:t>
      </w:r>
      <w:r>
        <w:rPr>
          <w:rFonts w:ascii="Times New Roman" w:eastAsia="Times New Roman" w:hAnsi="Times New Roman" w:cs="Times New Roman"/>
          <w:sz w:val="24"/>
          <w:szCs w:val="24"/>
        </w:rPr>
        <w:t xml:space="preserve">2005; Jones and </w:t>
      </w:r>
      <w:proofErr w:type="spellStart"/>
      <w:r>
        <w:rPr>
          <w:rFonts w:ascii="Times New Roman" w:eastAsia="Times New Roman" w:hAnsi="Times New Roman" w:cs="Times New Roman"/>
          <w:sz w:val="24"/>
          <w:szCs w:val="24"/>
        </w:rPr>
        <w:t>Hensher</w:t>
      </w:r>
      <w:proofErr w:type="spellEnd"/>
      <w:r>
        <w:rPr>
          <w:rFonts w:ascii="Times New Roman" w:eastAsia="Times New Roman" w:hAnsi="Times New Roman" w:cs="Times New Roman"/>
          <w:sz w:val="24"/>
          <w:szCs w:val="24"/>
        </w:rPr>
        <w:t xml:space="preserve"> 2008).</w:t>
      </w:r>
    </w:p>
    <w:p w:rsidR="00700AB3" w:rsidRDefault="003E78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0AB3" w:rsidRDefault="003E7881">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noted by Beaver et al. (2005, 95–96): The precise combination of ratios used</w:t>
      </w: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seems</w:t>
      </w:r>
      <w:proofErr w:type="gramEnd"/>
      <w:r>
        <w:rPr>
          <w:rFonts w:ascii="Times New Roman" w:eastAsia="Times New Roman" w:hAnsi="Times New Roman" w:cs="Times New Roman"/>
          <w:sz w:val="24"/>
          <w:szCs w:val="24"/>
        </w:rPr>
        <w:t xml:space="preserve"> to be of minor importance with respect to overall predictive power, because the explanatory variables are correlated. However, convention</w:t>
      </w:r>
      <w:r>
        <w:rPr>
          <w:rFonts w:ascii="Times New Roman" w:eastAsia="Times New Roman" w:hAnsi="Times New Roman" w:cs="Times New Roman"/>
          <w:sz w:val="24"/>
          <w:szCs w:val="24"/>
        </w:rPr>
        <w:t xml:space="preserve">al bankruptcy models such as </w:t>
      </w:r>
      <w:proofErr w:type="spellStart"/>
      <w:r>
        <w:rPr>
          <w:rFonts w:ascii="Times New Roman" w:eastAsia="Times New Roman" w:hAnsi="Times New Roman" w:cs="Times New Roman"/>
          <w:sz w:val="24"/>
          <w:szCs w:val="24"/>
        </w:rPr>
        <w:t>logit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and LDA are low dimensional models; that is, they are severely limited by the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condition (and other statistical problems), which restricts the number of input variables that can be tested in the mo</w:t>
      </w:r>
      <w:r>
        <w:rPr>
          <w:rFonts w:ascii="Times New Roman" w:eastAsia="Times New Roman" w:hAnsi="Times New Roman" w:cs="Times New Roman"/>
          <w:sz w:val="24"/>
          <w:szCs w:val="24"/>
        </w:rPr>
        <w:t>del. These models have limited capacity to extract signals from other potentially important variables and related interaction effects. The gradient boosting model enables the testing of a much wider range of financial ratios, irrespective of their correlat</w:t>
      </w:r>
      <w:r>
        <w:rPr>
          <w:rFonts w:ascii="Times New Roman" w:eastAsia="Times New Roman" w:hAnsi="Times New Roman" w:cs="Times New Roman"/>
          <w:sz w:val="24"/>
          <w:szCs w:val="24"/>
        </w:rPr>
        <w:t xml:space="preserve">ion with other variables and without any cost to model stability or performance. Other three models, Support Vector classifiers, K nearest neighbors and logistic regression models would be used to observe as well.  </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Corporate governance indicators.</w:t>
      </w:r>
      <w:proofErr w:type="gramEnd"/>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are some studies where </w:t>
      </w:r>
      <w:proofErr w:type="gramStart"/>
      <w:r>
        <w:rPr>
          <w:rFonts w:ascii="Times New Roman" w:eastAsia="Times New Roman" w:hAnsi="Times New Roman" w:cs="Times New Roman"/>
          <w:sz w:val="24"/>
          <w:szCs w:val="24"/>
        </w:rPr>
        <w:t>Corporate</w:t>
      </w:r>
      <w:proofErr w:type="gramEnd"/>
      <w:r>
        <w:rPr>
          <w:rFonts w:ascii="Times New Roman" w:eastAsia="Times New Roman" w:hAnsi="Times New Roman" w:cs="Times New Roman"/>
          <w:sz w:val="24"/>
          <w:szCs w:val="24"/>
        </w:rPr>
        <w:t xml:space="preserve"> governance indicators are included alongside financial ratios to increase the predictive power in bankruptcy analysis. Many corporate </w:t>
      </w:r>
      <w:r>
        <w:rPr>
          <w:rFonts w:ascii="Times New Roman" w:eastAsia="Times New Roman" w:hAnsi="Times New Roman" w:cs="Times New Roman"/>
          <w:sz w:val="24"/>
          <w:szCs w:val="24"/>
        </w:rPr>
        <w:lastRenderedPageBreak/>
        <w:t xml:space="preserve">governance indicators (CGIs) have been identified in the </w:t>
      </w:r>
      <w:proofErr w:type="gramStart"/>
      <w:r>
        <w:rPr>
          <w:rFonts w:ascii="Times New Roman" w:eastAsia="Times New Roman" w:hAnsi="Times New Roman" w:cs="Times New Roman"/>
          <w:sz w:val="24"/>
          <w:szCs w:val="24"/>
        </w:rPr>
        <w:t>literature which have</w:t>
      </w:r>
      <w:proofErr w:type="gramEnd"/>
      <w:r>
        <w:rPr>
          <w:rFonts w:ascii="Times New Roman" w:eastAsia="Times New Roman" w:hAnsi="Times New Roman" w:cs="Times New Roman"/>
          <w:sz w:val="24"/>
          <w:szCs w:val="24"/>
        </w:rPr>
        <w:t xml:space="preserve"> been used</w:t>
      </w:r>
      <w:r>
        <w:rPr>
          <w:rFonts w:ascii="Times New Roman" w:eastAsia="Times New Roman" w:hAnsi="Times New Roman" w:cs="Times New Roman"/>
          <w:sz w:val="24"/>
          <w:szCs w:val="24"/>
        </w:rPr>
        <w:t xml:space="preserve"> for solving bankruptcy or financial crisis problems. These can be classified into five categories including board structure, ownership structure, cash flow rights, key persons retained, and others. However not all CGIs used for bankruptcy analysis in rela</w:t>
      </w:r>
      <w:r>
        <w:rPr>
          <w:rFonts w:ascii="Times New Roman" w:eastAsia="Times New Roman" w:hAnsi="Times New Roman" w:cs="Times New Roman"/>
          <w:sz w:val="24"/>
          <w:szCs w:val="24"/>
        </w:rPr>
        <w:t xml:space="preserve">ted works are the same. For example, Lee and </w:t>
      </w:r>
      <w:proofErr w:type="spellStart"/>
      <w:r>
        <w:rPr>
          <w:rFonts w:ascii="Times New Roman" w:eastAsia="Times New Roman" w:hAnsi="Times New Roman" w:cs="Times New Roman"/>
          <w:sz w:val="24"/>
          <w:szCs w:val="24"/>
        </w:rPr>
        <w:t>Yeh</w:t>
      </w:r>
      <w:proofErr w:type="spellEnd"/>
      <w:r>
        <w:rPr>
          <w:rFonts w:ascii="Times New Roman" w:eastAsia="Times New Roman" w:hAnsi="Times New Roman" w:cs="Times New Roman"/>
          <w:sz w:val="24"/>
          <w:szCs w:val="24"/>
        </w:rPr>
        <w:t xml:space="preserve"> (2004) used 6 </w:t>
      </w:r>
      <w:proofErr w:type="gramStart"/>
      <w:r>
        <w:rPr>
          <w:rFonts w:ascii="Times New Roman" w:eastAsia="Times New Roman" w:hAnsi="Times New Roman" w:cs="Times New Roman"/>
          <w:sz w:val="24"/>
          <w:szCs w:val="24"/>
        </w:rPr>
        <w:t>FRs</w:t>
      </w:r>
      <w:proofErr w:type="gramEnd"/>
      <w:r>
        <w:rPr>
          <w:rFonts w:ascii="Times New Roman" w:eastAsia="Times New Roman" w:hAnsi="Times New Roman" w:cs="Times New Roman"/>
          <w:sz w:val="24"/>
          <w:szCs w:val="24"/>
        </w:rPr>
        <w:t xml:space="preserve"> relating to solvency, profitability, and other categories and 10 CGIs in the board structure and ownership categories. What they found was that the model performance could be enhanced by us</w:t>
      </w:r>
      <w:r>
        <w:rPr>
          <w:rFonts w:ascii="Times New Roman" w:eastAsia="Times New Roman" w:hAnsi="Times New Roman" w:cs="Times New Roman"/>
          <w:sz w:val="24"/>
          <w:szCs w:val="24"/>
        </w:rPr>
        <w:t xml:space="preserve">ing a combination of CGIs and </w:t>
      </w:r>
      <w:proofErr w:type="spellStart"/>
      <w:proofErr w:type="gramStart"/>
      <w:r>
        <w:rPr>
          <w:rFonts w:ascii="Times New Roman" w:eastAsia="Times New Roman" w:hAnsi="Times New Roman" w:cs="Times New Roman"/>
          <w:sz w:val="24"/>
          <w:szCs w:val="24"/>
        </w:rPr>
        <w:t>FRs.</w:t>
      </w:r>
      <w:proofErr w:type="spellEnd"/>
      <w:proofErr w:type="gramEnd"/>
      <w:r>
        <w:rPr>
          <w:rFonts w:ascii="Times New Roman" w:eastAsia="Times New Roman" w:hAnsi="Times New Roman" w:cs="Times New Roman"/>
          <w:sz w:val="24"/>
          <w:szCs w:val="24"/>
        </w:rPr>
        <w:t xml:space="preserve"> However, in this research project, only financial ratios will be analyzed to determine the bankruptcy predictors.</w:t>
      </w:r>
    </w:p>
    <w:p w:rsidR="00700AB3" w:rsidRDefault="00700AB3">
      <w:pPr>
        <w:spacing w:line="240" w:lineRule="auto"/>
        <w:rPr>
          <w:rFonts w:ascii="Times New Roman" w:eastAsia="Times New Roman" w:hAnsi="Times New Roman" w:cs="Times New Roman"/>
          <w:b/>
          <w:sz w:val="24"/>
          <w:szCs w:val="24"/>
        </w:rPr>
      </w:pP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700AB3" w:rsidRDefault="00700AB3">
      <w:pPr>
        <w:spacing w:line="240" w:lineRule="auto"/>
        <w:ind w:firstLine="360"/>
        <w:rPr>
          <w:rFonts w:ascii="Times New Roman" w:eastAsia="Times New Roman" w:hAnsi="Times New Roman" w:cs="Times New Roman"/>
          <w:sz w:val="24"/>
          <w:szCs w:val="24"/>
        </w:rPr>
      </w:pPr>
    </w:p>
    <w:p w:rsidR="00700AB3" w:rsidRDefault="003E7881">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feature selection, there are many common and well-known techniques which can be emplo</w:t>
      </w:r>
      <w:r>
        <w:rPr>
          <w:rFonts w:ascii="Times New Roman" w:eastAsia="Times New Roman" w:hAnsi="Times New Roman" w:cs="Times New Roman"/>
          <w:sz w:val="24"/>
          <w:szCs w:val="24"/>
        </w:rPr>
        <w:t>yed to develop prediction models. In this project, four techniques are compared, Logistic Regression, Support Vector Classifier, Gradient Boosted Classifiers, and K- means Nearest Neighbors. The kernel selected for Support Vector Classifier will be linear.</w:t>
      </w:r>
    </w:p>
    <w:p w:rsidR="00700AB3" w:rsidRDefault="00700AB3">
      <w:pPr>
        <w:spacing w:line="240" w:lineRule="auto"/>
        <w:rPr>
          <w:rFonts w:ascii="Times New Roman" w:eastAsia="Times New Roman" w:hAnsi="Times New Roman" w:cs="Times New Roman"/>
          <w:b/>
          <w:sz w:val="24"/>
          <w:szCs w:val="24"/>
        </w:rPr>
      </w:pP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spacing w:line="240" w:lineRule="auto"/>
        <w:ind w:left="72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Predictive Models</w:t>
      </w: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numPr>
          <w:ilvl w:val="0"/>
          <w:numId w:val="2"/>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classification algorithm, used when the value of the target variable is categorical in nature. Logistic regression is most commonly used when the data in question has binary output, so</w:t>
      </w:r>
      <w:r>
        <w:rPr>
          <w:rFonts w:ascii="Times New Roman" w:eastAsia="Times New Roman" w:hAnsi="Times New Roman" w:cs="Times New Roman"/>
          <w:sz w:val="24"/>
          <w:szCs w:val="24"/>
        </w:rPr>
        <w:t xml:space="preserve"> when it belongs to one class or another, or is either a 0 or 1.</w:t>
      </w:r>
    </w:p>
    <w:p w:rsidR="00700AB3" w:rsidRDefault="003E7881">
      <w:pPr>
        <w:numPr>
          <w:ilvl w:val="0"/>
          <w:numId w:val="2"/>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Classifiers</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classifiers (SVCs) are a set of supervised learning methods used for classification, regression and outlier detection. The advantages of support vector classifiers are effective in high dimensional spaces, still effective in cases where numb</w:t>
      </w:r>
      <w:r>
        <w:rPr>
          <w:rFonts w:ascii="Times New Roman" w:eastAsia="Times New Roman" w:hAnsi="Times New Roman" w:cs="Times New Roman"/>
          <w:sz w:val="24"/>
          <w:szCs w:val="24"/>
        </w:rPr>
        <w:t>er of dimensions is greater than the number of samples, uses a subset of training points in the decision function (called support vectors), so it is also memory efficient, and versatile: different Kernel functions can be specified for the decision function</w:t>
      </w:r>
      <w:r>
        <w:rPr>
          <w:rFonts w:ascii="Times New Roman" w:eastAsia="Times New Roman" w:hAnsi="Times New Roman" w:cs="Times New Roman"/>
          <w:sz w:val="24"/>
          <w:szCs w:val="24"/>
        </w:rPr>
        <w:t>. Common kernels are provided, but it is also possible to specify custom kernels.</w:t>
      </w: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disadvantages of support vector classifiers include if the number of features is much greater than the number of samples, avoid over-fitting in choosing Kernel functions and regularization term is crucial and SVMs do not directly provide probability es</w:t>
      </w:r>
      <w:r>
        <w:rPr>
          <w:rFonts w:ascii="Times New Roman" w:eastAsia="Times New Roman" w:hAnsi="Times New Roman" w:cs="Times New Roman"/>
          <w:sz w:val="24"/>
          <w:szCs w:val="24"/>
        </w:rPr>
        <w:t>timates, these are calculated using an expensive five-fold cross-validation (see Scores and probabilities, below).</w:t>
      </w:r>
    </w:p>
    <w:p w:rsidR="00700AB3" w:rsidRDefault="003E7881">
      <w:pPr>
        <w:numPr>
          <w:ilvl w:val="0"/>
          <w:numId w:val="2"/>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Gradient Boosted Classifiers</w:t>
      </w:r>
      <w:r>
        <w:rPr>
          <w:rFonts w:ascii="Times New Roman" w:eastAsia="Times New Roman" w:hAnsi="Times New Roman" w:cs="Times New Roman"/>
          <w:sz w:val="24"/>
          <w:szCs w:val="24"/>
        </w:rPr>
        <w:t xml:space="preserve">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Boosted Classifiers build an ensemble of shallow and weak successive trees with each tree learning and</w:t>
      </w:r>
      <w:r>
        <w:rPr>
          <w:rFonts w:ascii="Times New Roman" w:eastAsia="Times New Roman" w:hAnsi="Times New Roman" w:cs="Times New Roman"/>
          <w:sz w:val="24"/>
          <w:szCs w:val="24"/>
        </w:rPr>
        <w:t xml:space="preserve"> improving on the previous. When combined, these many weak successive trees produce a powerful “committee” that are often hard to beat with other algorithms. The advantages of GBM are that it provides predictive accuracy. Boosting works by adding new model</w:t>
      </w:r>
      <w:r>
        <w:rPr>
          <w:rFonts w:ascii="Times New Roman" w:eastAsia="Times New Roman" w:hAnsi="Times New Roman" w:cs="Times New Roman"/>
          <w:sz w:val="24"/>
          <w:szCs w:val="24"/>
        </w:rPr>
        <w:t xml:space="preserve">s to the ensemble sequentially. </w:t>
      </w:r>
      <w:proofErr w:type="gramStart"/>
      <w:r>
        <w:rPr>
          <w:rFonts w:ascii="Times New Roman" w:eastAsia="Times New Roman" w:hAnsi="Times New Roman" w:cs="Times New Roman"/>
          <w:sz w:val="24"/>
          <w:szCs w:val="24"/>
        </w:rPr>
        <w:t>At each particular iteration</w:t>
      </w:r>
      <w:proofErr w:type="gramEnd"/>
      <w:r>
        <w:rPr>
          <w:rFonts w:ascii="Times New Roman" w:eastAsia="Times New Roman" w:hAnsi="Times New Roman" w:cs="Times New Roman"/>
          <w:sz w:val="24"/>
          <w:szCs w:val="24"/>
        </w:rPr>
        <w:t>, a new weak, base-</w:t>
      </w:r>
      <w:r>
        <w:rPr>
          <w:rFonts w:ascii="Times New Roman" w:eastAsia="Times New Roman" w:hAnsi="Times New Roman" w:cs="Times New Roman"/>
          <w:sz w:val="24"/>
          <w:szCs w:val="24"/>
        </w:rPr>
        <w:lastRenderedPageBreak/>
        <w:t>learner model is trained with respect to the error of the whole ensemble learnt so far. GBM starts with base-learning models, then training weak models and followed up with sequ</w:t>
      </w:r>
      <w:r>
        <w:rPr>
          <w:rFonts w:ascii="Times New Roman" w:eastAsia="Times New Roman" w:hAnsi="Times New Roman" w:cs="Times New Roman"/>
          <w:sz w:val="24"/>
          <w:szCs w:val="24"/>
        </w:rPr>
        <w:t xml:space="preserve">ential training with respect to errors. The following is explained more in detail on the process.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bankruptcy research has relied on parametric models, such as multiple discriminant analysis and </w:t>
      </w:r>
      <w:proofErr w:type="spellStart"/>
      <w:r>
        <w:rPr>
          <w:rFonts w:ascii="Times New Roman" w:eastAsia="Times New Roman" w:hAnsi="Times New Roman" w:cs="Times New Roman"/>
          <w:sz w:val="24"/>
          <w:szCs w:val="24"/>
        </w:rPr>
        <w:t>logit</w:t>
      </w:r>
      <w:proofErr w:type="spellEnd"/>
      <w:r>
        <w:rPr>
          <w:rFonts w:ascii="Times New Roman" w:eastAsia="Times New Roman" w:hAnsi="Times New Roman" w:cs="Times New Roman"/>
          <w:sz w:val="24"/>
          <w:szCs w:val="24"/>
        </w:rPr>
        <w:t>, which can only handle a finite number of predicto</w:t>
      </w:r>
      <w:r>
        <w:rPr>
          <w:rFonts w:ascii="Times New Roman" w:eastAsia="Times New Roman" w:hAnsi="Times New Roman" w:cs="Times New Roman"/>
          <w:sz w:val="24"/>
          <w:szCs w:val="24"/>
        </w:rPr>
        <w:t xml:space="preserve">rs (Altman in The Journal of Finance 23 (4), 589–609, 1968; </w:t>
      </w:r>
      <w:proofErr w:type="spellStart"/>
      <w:r>
        <w:rPr>
          <w:rFonts w:ascii="Times New Roman" w:eastAsia="Times New Roman" w:hAnsi="Times New Roman" w:cs="Times New Roman"/>
          <w:sz w:val="24"/>
          <w:szCs w:val="24"/>
        </w:rPr>
        <w:t>Ohlson</w:t>
      </w:r>
      <w:proofErr w:type="spellEnd"/>
      <w:r>
        <w:rPr>
          <w:rFonts w:ascii="Times New Roman" w:eastAsia="Times New Roman" w:hAnsi="Times New Roman" w:cs="Times New Roman"/>
          <w:sz w:val="24"/>
          <w:szCs w:val="24"/>
        </w:rPr>
        <w:t xml:space="preserve"> in Journal of Accounting Research 18 (1), 109–131, 1980). The gradient boosting model is a statistical learning method that overcomes this limitation. The model accommodates very large numb</w:t>
      </w:r>
      <w:r>
        <w:rPr>
          <w:rFonts w:ascii="Times New Roman" w:eastAsia="Times New Roman" w:hAnsi="Times New Roman" w:cs="Times New Roman"/>
          <w:sz w:val="24"/>
          <w:szCs w:val="24"/>
        </w:rPr>
        <w:t>ers of predictors which can be rank ordered, from best to worst, based on their overall predictive power (Friedman in The Annals of Statistics 29 (5), 1189–1232, 2001; Hastie et al. 2009).</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unscaled</w:t>
      </w:r>
      <w:proofErr w:type="spellEnd"/>
      <w:r>
        <w:rPr>
          <w:rFonts w:ascii="Times New Roman" w:eastAsia="Times New Roman" w:hAnsi="Times New Roman" w:cs="Times New Roman"/>
          <w:sz w:val="24"/>
          <w:szCs w:val="24"/>
        </w:rPr>
        <w:t xml:space="preserve"> measures can introduce significant </w:t>
      </w:r>
      <w:proofErr w:type="spellStart"/>
      <w:r>
        <w:rPr>
          <w:rFonts w:ascii="Times New Roman" w:eastAsia="Times New Roman" w:hAnsi="Times New Roman" w:cs="Times New Roman"/>
          <w:sz w:val="24"/>
          <w:szCs w:val="24"/>
        </w:rPr>
        <w:t>heteroscedasticit</w:t>
      </w:r>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into the dataset, the gradient boosting model is largely insensitive to the shape and structure of data. Outliers do not affect the analysis. (Friedman 2001).</w:t>
      </w:r>
    </w:p>
    <w:p w:rsidR="00700AB3" w:rsidRDefault="00700AB3">
      <w:pPr>
        <w:spacing w:after="200" w:line="240" w:lineRule="auto"/>
        <w:ind w:firstLine="720"/>
        <w:rPr>
          <w:rFonts w:ascii="Times New Roman" w:eastAsia="Times New Roman" w:hAnsi="Times New Roman" w:cs="Times New Roman"/>
          <w:sz w:val="24"/>
          <w:szCs w:val="24"/>
        </w:rPr>
      </w:pPr>
    </w:p>
    <w:p w:rsidR="00700AB3" w:rsidRDefault="003E7881">
      <w:pPr>
        <w:numPr>
          <w:ilvl w:val="0"/>
          <w:numId w:val="2"/>
        </w:num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means nearest neighbors</w:t>
      </w:r>
    </w:p>
    <w:p w:rsidR="00700AB3" w:rsidRDefault="003E7881">
      <w:pPr>
        <w:pBdr>
          <w:top w:val="nil"/>
          <w:left w:val="nil"/>
          <w:bottom w:val="nil"/>
          <w:right w:val="nil"/>
          <w:between w:val="nil"/>
        </w:pBd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KNN algorithm assumes that similar things exist in close proxim</w:t>
      </w:r>
      <w:r>
        <w:rPr>
          <w:rFonts w:ascii="Times New Roman" w:eastAsia="Times New Roman" w:hAnsi="Times New Roman" w:cs="Times New Roman"/>
          <w:sz w:val="24"/>
          <w:szCs w:val="24"/>
        </w:rPr>
        <w:t xml:space="preserve">ity. In other words, similar things are near to each other. </w:t>
      </w:r>
    </w:p>
    <w:p w:rsidR="00700AB3" w:rsidRDefault="003E7881">
      <w:pPr>
        <w:pBdr>
          <w:top w:val="nil"/>
          <w:left w:val="nil"/>
          <w:bottom w:val="nil"/>
          <w:right w:val="nil"/>
          <w:between w:val="nil"/>
        </w:pBd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KNN Algorithm first loads the data and initializes K to your chosen number of neighbors. For each example in the data, it calculates the distance between the query example and the current example from the data and adds the distance and the index of the</w:t>
      </w:r>
      <w:r>
        <w:rPr>
          <w:rFonts w:ascii="Times New Roman" w:eastAsia="Times New Roman" w:hAnsi="Times New Roman" w:cs="Times New Roman"/>
          <w:sz w:val="24"/>
          <w:szCs w:val="24"/>
        </w:rPr>
        <w:t xml:space="preserve"> example to an ordered collection. Then it sorts the ordered collection of distances and indices from smallest to largest (in ascending order) by the distances. Then it picks the first K entries from the sorted collection and returns the labels of the sele</w:t>
      </w:r>
      <w:r>
        <w:rPr>
          <w:rFonts w:ascii="Times New Roman" w:eastAsia="Times New Roman" w:hAnsi="Times New Roman" w:cs="Times New Roman"/>
          <w:sz w:val="24"/>
          <w:szCs w:val="24"/>
        </w:rPr>
        <w:t>cted K entries. If regression, it returns the mean of the K labels. If classification, it returns the mode of the K labels.</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Results and Discussion</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brief summary of the dataset, all features are numeric, one feature has 0 variance that is constant t</w:t>
      </w:r>
      <w:r>
        <w:rPr>
          <w:rFonts w:ascii="Times New Roman" w:eastAsia="Times New Roman" w:hAnsi="Times New Roman" w:cs="Times New Roman"/>
          <w:sz w:val="24"/>
          <w:szCs w:val="24"/>
        </w:rPr>
        <w:t xml:space="preserve">hroughout,  major features are in the range of 0-1, and there are outlier infected features. However, there is a severe class imbalance of bankruptcy rate of the samples. There are 220 counts of bankruptcy to 6599 counts of </w:t>
      </w:r>
      <w:proofErr w:type="spellStart"/>
      <w:r>
        <w:rPr>
          <w:rFonts w:ascii="Times New Roman" w:eastAsia="Times New Roman" w:hAnsi="Times New Roman" w:cs="Times New Roman"/>
          <w:sz w:val="24"/>
          <w:szCs w:val="24"/>
        </w:rPr>
        <w:t>non bankruptcy</w:t>
      </w:r>
      <w:proofErr w:type="spellEnd"/>
      <w:r>
        <w:rPr>
          <w:rFonts w:ascii="Times New Roman" w:eastAsia="Times New Roman" w:hAnsi="Times New Roman" w:cs="Times New Roman"/>
          <w:sz w:val="24"/>
          <w:szCs w:val="24"/>
        </w:rPr>
        <w:t>. To solve this, S</w:t>
      </w:r>
      <w:r>
        <w:rPr>
          <w:rFonts w:ascii="Times New Roman" w:eastAsia="Times New Roman" w:hAnsi="Times New Roman" w:cs="Times New Roman"/>
          <w:sz w:val="24"/>
          <w:szCs w:val="24"/>
        </w:rPr>
        <w:t>MOTE will be used which oversamples the minority class, the bankrupt counts in this case. It duplicates examples in the minority class, yet they won't add any new information to the models. The new examples can be synthesized from existing examples.</w:t>
      </w:r>
    </w:p>
    <w:p w:rsidR="00700AB3" w:rsidRDefault="003E7881">
      <w:pPr>
        <w:spacing w:after="20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Multic</w:t>
      </w:r>
      <w:r>
        <w:rPr>
          <w:rFonts w:ascii="Times New Roman" w:eastAsia="Times New Roman" w:hAnsi="Times New Roman" w:cs="Times New Roman"/>
          <w:sz w:val="24"/>
          <w:szCs w:val="24"/>
        </w:rPr>
        <w:t>ollinearity</w:t>
      </w:r>
      <w:proofErr w:type="spellEnd"/>
      <w:r>
        <w:rPr>
          <w:rFonts w:ascii="Times New Roman" w:eastAsia="Times New Roman" w:hAnsi="Times New Roman" w:cs="Times New Roman"/>
          <w:sz w:val="24"/>
          <w:szCs w:val="24"/>
        </w:rPr>
        <w:t xml:space="preserve"> is also used to check if there is perfect correlation between any of the columns. If the correlation is more than 0.95 or less than -0.95 then remove one of the columns to avoid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in the dataset. A total of 17 columns dropped as</w:t>
      </w:r>
      <w:r>
        <w:rPr>
          <w:rFonts w:ascii="Times New Roman" w:eastAsia="Times New Roman" w:hAnsi="Times New Roman" w:cs="Times New Roman"/>
          <w:sz w:val="24"/>
          <w:szCs w:val="24"/>
        </w:rPr>
        <w:t xml:space="preserve"> a result of this.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split the dataset into a training set of 0.70 and testing set of 0.30.  Then normalize the dataset with the scalar function. Using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identify the optimal parameters to use </w:t>
      </w:r>
      <w:r>
        <w:rPr>
          <w:rFonts w:ascii="Times New Roman" w:eastAsia="Times New Roman" w:hAnsi="Times New Roman" w:cs="Times New Roman"/>
          <w:sz w:val="24"/>
          <w:szCs w:val="24"/>
        </w:rPr>
        <w:lastRenderedPageBreak/>
        <w:t>for the four models, Logistic regression, Sup</w:t>
      </w:r>
      <w:r>
        <w:rPr>
          <w:rFonts w:ascii="Times New Roman" w:eastAsia="Times New Roman" w:hAnsi="Times New Roman" w:cs="Times New Roman"/>
          <w:sz w:val="24"/>
          <w:szCs w:val="24"/>
        </w:rPr>
        <w:t>port Vector Classifiers, Gradient Boosted Classifiers, and K nearest neighbors (see following Table).</w:t>
      </w:r>
    </w:p>
    <w:p w:rsidR="00700AB3" w:rsidRDefault="00700AB3">
      <w:pPr>
        <w:spacing w:after="200"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00AB3">
        <w:tc>
          <w:tcPr>
            <w:tcW w:w="2340" w:type="dxa"/>
            <w:tcBorders>
              <w:top w:val="nil"/>
              <w:left w:val="nil"/>
              <w:bottom w:val="nil"/>
              <w:right w:val="nil"/>
            </w:tcBorders>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best_score</w:t>
            </w:r>
            <w:proofErr w:type="spellEnd"/>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best_params</w:t>
            </w:r>
            <w:proofErr w:type="spellEnd"/>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svm</w:t>
            </w:r>
            <w:proofErr w:type="spellEnd"/>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0.996515</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20, 'kernel':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GBM</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0.995302</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0.1,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8,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100,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100, 'subsample': 0.85}</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logistic_regression</w:t>
            </w:r>
            <w:proofErr w:type="spellEnd"/>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0.920443</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5, 'solver': '</w:t>
            </w:r>
            <w:proofErr w:type="spellStart"/>
            <w:r>
              <w:rPr>
                <w:rFonts w:ascii="Times New Roman" w:eastAsia="Times New Roman" w:hAnsi="Times New Roman" w:cs="Times New Roman"/>
                <w:sz w:val="24"/>
                <w:szCs w:val="24"/>
              </w:rPr>
              <w:t>liblinear</w:t>
            </w:r>
            <w:proofErr w:type="spellEnd"/>
            <w:r>
              <w:rPr>
                <w:rFonts w:ascii="Times New Roman" w:eastAsia="Times New Roman" w:hAnsi="Times New Roman" w:cs="Times New Roman"/>
                <w:sz w:val="24"/>
                <w:szCs w:val="24"/>
              </w:rPr>
              <w:t>'}</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0.999848</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'auto', '</w:t>
            </w: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5}</w:t>
            </w:r>
          </w:p>
        </w:tc>
      </w:tr>
    </w:tbl>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0AB3" w:rsidRDefault="00700AB3">
      <w:pPr>
        <w:spacing w:after="200" w:line="240" w:lineRule="auto"/>
        <w:rPr>
          <w:rFonts w:ascii="Times New Roman" w:eastAsia="Times New Roman" w:hAnsi="Times New Roman" w:cs="Times New Roman"/>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700AB3" w:rsidRDefault="00700AB3">
      <w:pPr>
        <w:spacing w:after="200" w:line="240" w:lineRule="auto"/>
        <w:rPr>
          <w:rFonts w:ascii="Times New Roman" w:eastAsia="Times New Roman" w:hAnsi="Times New Roman" w:cs="Times New Roman"/>
          <w:sz w:val="24"/>
          <w:szCs w:val="24"/>
        </w:rPr>
      </w:pPr>
    </w:p>
    <w:tbl>
      <w:tblPr>
        <w:tblStyle w:val="a0"/>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1759</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1832</w:t>
            </w:r>
          </w:p>
        </w:tc>
      </w:tr>
    </w:tbl>
    <w:p w:rsidR="00700AB3" w:rsidRDefault="00700AB3">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700AB3" w:rsidRDefault="003E7881">
      <w:pPr>
        <w:spacing w:after="20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Figure 1.</w:t>
      </w:r>
      <w:proofErr w:type="gramEnd"/>
    </w:p>
    <w:p w:rsidR="00700AB3" w:rsidRDefault="00700AB3">
      <w:pPr>
        <w:spacing w:after="200" w:line="240" w:lineRule="auto"/>
        <w:rPr>
          <w:rFonts w:ascii="Times New Roman" w:eastAsia="Times New Roman" w:hAnsi="Times New Roman" w:cs="Times New Roman"/>
          <w:sz w:val="24"/>
          <w:szCs w:val="24"/>
        </w:rPr>
      </w:pP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76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762500"/>
                    </a:xfrm>
                    <a:prstGeom prst="rect">
                      <a:avLst/>
                    </a:prstGeom>
                    <a:ln/>
                  </pic:spPr>
                </pic:pic>
              </a:graphicData>
            </a:graphic>
          </wp:inline>
        </w:drawing>
      </w:r>
      <w:r>
        <w:rPr>
          <w:rFonts w:ascii="Times New Roman" w:eastAsia="Times New Roman" w:hAnsi="Times New Roman" w:cs="Times New Roman"/>
          <w:sz w:val="24"/>
          <w:szCs w:val="24"/>
        </w:rPr>
        <w:t xml:space="preserve">Logistic Regression shows that Operating Profit Rate is a top bankruptcy predictor. This is true because if a company is not making profit it is bound to become bankrupt in the future. There are also negative importance </w:t>
      </w:r>
      <w:r>
        <w:rPr>
          <w:rFonts w:ascii="Times New Roman" w:eastAsia="Times New Roman" w:hAnsi="Times New Roman" w:cs="Times New Roman"/>
          <w:sz w:val="24"/>
          <w:szCs w:val="24"/>
        </w:rPr>
        <w:t>values shown for this model that shows those features have negative importance in predicting bankruptcy.</w:t>
      </w: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Classifiers</w:t>
      </w:r>
    </w:p>
    <w:p w:rsidR="00700AB3" w:rsidRDefault="00700AB3">
      <w:pPr>
        <w:spacing w:after="200" w:line="240" w:lineRule="auto"/>
        <w:rPr>
          <w:rFonts w:ascii="Times New Roman" w:eastAsia="Times New Roman" w:hAnsi="Times New Roman" w:cs="Times New Roman"/>
          <w:sz w:val="24"/>
          <w:szCs w:val="24"/>
        </w:rPr>
      </w:pPr>
    </w:p>
    <w:tbl>
      <w:tblPr>
        <w:tblStyle w:val="a1"/>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1899</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1972</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Boosted Classifiers</w:t>
      </w:r>
    </w:p>
    <w:p w:rsidR="00700AB3" w:rsidRDefault="00700AB3">
      <w:pPr>
        <w:spacing w:after="200" w:line="240" w:lineRule="auto"/>
        <w:rPr>
          <w:rFonts w:ascii="Times New Roman" w:eastAsia="Times New Roman" w:hAnsi="Times New Roman" w:cs="Times New Roman"/>
          <w:sz w:val="24"/>
          <w:szCs w:val="24"/>
        </w:rPr>
      </w:pPr>
    </w:p>
    <w:tbl>
      <w:tblPr>
        <w:tblStyle w:val="a2"/>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1917</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1966</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3E7881">
      <w:pPr>
        <w:spacing w:after="20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Figure 2.</w:t>
      </w:r>
      <w:proofErr w:type="gramEnd"/>
    </w:p>
    <w:p w:rsidR="00700AB3" w:rsidRDefault="003E7881">
      <w:pPr>
        <w:spacing w:after="20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762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762500"/>
                    </a:xfrm>
                    <a:prstGeom prst="rect">
                      <a:avLst/>
                    </a:prstGeom>
                    <a:ln/>
                  </pic:spPr>
                </pic:pic>
              </a:graphicData>
            </a:graphic>
          </wp:inline>
        </w:drawing>
      </w:r>
    </w:p>
    <w:p w:rsidR="008A5099" w:rsidRDefault="008A5099">
      <w:pPr>
        <w:spacing w:after="200" w:line="240" w:lineRule="auto"/>
        <w:ind w:firstLine="720"/>
        <w:rPr>
          <w:rFonts w:ascii="Times New Roman" w:eastAsia="Times New Roman" w:hAnsi="Times New Roman" w:cs="Times New Roman"/>
          <w:b/>
          <w:sz w:val="24"/>
          <w:szCs w:val="24"/>
        </w:rPr>
      </w:pPr>
    </w:p>
    <w:p w:rsidR="008A5099" w:rsidRDefault="008A5099">
      <w:pPr>
        <w:spacing w:after="200" w:line="240" w:lineRule="auto"/>
        <w:ind w:firstLine="720"/>
        <w:rPr>
          <w:rFonts w:ascii="Times New Roman" w:eastAsia="Times New Roman" w:hAnsi="Times New Roman" w:cs="Times New Roman"/>
          <w:b/>
          <w:sz w:val="24"/>
          <w:szCs w:val="24"/>
        </w:rPr>
      </w:pPr>
    </w:p>
    <w:p w:rsidR="008A5099" w:rsidRDefault="008A5099">
      <w:pPr>
        <w:spacing w:after="200" w:line="240" w:lineRule="auto"/>
        <w:ind w:firstLine="720"/>
        <w:rPr>
          <w:rFonts w:ascii="Times New Roman" w:eastAsia="Times New Roman" w:hAnsi="Times New Roman" w:cs="Times New Roman"/>
          <w:b/>
          <w:sz w:val="24"/>
          <w:szCs w:val="24"/>
        </w:rPr>
      </w:pPr>
      <w:bookmarkStart w:id="25" w:name="_GoBack"/>
      <w:bookmarkEnd w:id="25"/>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K-nearest neighbors</w:t>
      </w:r>
    </w:p>
    <w:p w:rsidR="00700AB3" w:rsidRDefault="00700AB3">
      <w:pPr>
        <w:spacing w:after="200" w:line="240" w:lineRule="auto"/>
        <w:rPr>
          <w:rFonts w:ascii="Times New Roman" w:eastAsia="Times New Roman" w:hAnsi="Times New Roman" w:cs="Times New Roman"/>
          <w:sz w:val="24"/>
          <w:szCs w:val="24"/>
        </w:rPr>
      </w:pPr>
    </w:p>
    <w:tbl>
      <w:tblPr>
        <w:tblStyle w:val="a3"/>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1726</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700AB3">
      <w:pPr>
        <w:spacing w:after="200" w:line="240" w:lineRule="auto"/>
        <w:ind w:left="1440"/>
        <w:rPr>
          <w:rFonts w:ascii="Times New Roman" w:eastAsia="Times New Roman" w:hAnsi="Times New Roman" w:cs="Times New Roman"/>
          <w:b/>
          <w:sz w:val="24"/>
          <w:szCs w:val="24"/>
        </w:rPr>
      </w:pPr>
    </w:p>
    <w:p w:rsidR="00700AB3" w:rsidRDefault="003E7881">
      <w:pPr>
        <w:numPr>
          <w:ilvl w:val="0"/>
          <w:numId w:val="3"/>
        </w:num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Conclusions</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Out of the four models used were Gradient Boosted Classifiers which  performed best with AUC of 99.8%, 98% accuracy, 97% recall for 0: Fin. Stable and 99% for 1: Fin. Unstable. The GBC model has a 99.8% chance to distinguish between positive class and nega</w:t>
      </w:r>
      <w:r>
        <w:rPr>
          <w:rFonts w:ascii="Times New Roman" w:eastAsia="Times New Roman" w:hAnsi="Times New Roman" w:cs="Times New Roman"/>
          <w:sz w:val="24"/>
          <w:szCs w:val="24"/>
        </w:rPr>
        <w:t xml:space="preserve">tive class. Continuous interest rate (after tax) is a big predictor for company bankruptcy because if a company has high debt and interest rates it becomes harder to stay afloat. </w:t>
      </w:r>
      <w:proofErr w:type="spellStart"/>
      <w:r>
        <w:rPr>
          <w:rFonts w:ascii="Times New Roman" w:eastAsia="Times New Roman" w:hAnsi="Times New Roman" w:cs="Times New Roman"/>
          <w:sz w:val="24"/>
          <w:szCs w:val="24"/>
        </w:rPr>
        <w:t>Networth</w:t>
      </w:r>
      <w:proofErr w:type="spellEnd"/>
      <w:r>
        <w:rPr>
          <w:rFonts w:ascii="Times New Roman" w:eastAsia="Times New Roman" w:hAnsi="Times New Roman" w:cs="Times New Roman"/>
          <w:sz w:val="24"/>
          <w:szCs w:val="24"/>
        </w:rPr>
        <w:t>/asset is of second importance in predicting company bankruptcy.</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w:t>
      </w:r>
      <w:r>
        <w:rPr>
          <w:rFonts w:ascii="Times New Roman" w:eastAsia="Times New Roman" w:hAnsi="Times New Roman" w:cs="Times New Roman"/>
          <w:sz w:val="24"/>
          <w:szCs w:val="24"/>
        </w:rPr>
        <w:t xml:space="preserve">seems like the worst model in distinguishing between positive class and negative class of the bankruptcy predictors. </w:t>
      </w:r>
    </w:p>
    <w:p w:rsidR="00700AB3" w:rsidRDefault="00700AB3">
      <w:pPr>
        <w:spacing w:after="200" w:line="240" w:lineRule="auto"/>
        <w:ind w:firstLine="360"/>
        <w:rPr>
          <w:rFonts w:ascii="Times New Roman" w:eastAsia="Times New Roman" w:hAnsi="Times New Roman" w:cs="Times New Roman"/>
          <w:sz w:val="24"/>
          <w:szCs w:val="24"/>
        </w:rPr>
      </w:pP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815"/>
        <w:gridCol w:w="1620"/>
        <w:gridCol w:w="1770"/>
        <w:gridCol w:w="1785"/>
        <w:gridCol w:w="1890"/>
      </w:tblGrid>
      <w:tr w:rsidR="00700AB3">
        <w:trPr>
          <w:trHeight w:val="77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AUC</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of 0: Fin. Stable   </w:t>
            </w:r>
            <w:r>
              <w:rPr>
                <w:rFonts w:ascii="Times New Roman" w:eastAsia="Times New Roman" w:hAnsi="Times New Roman" w:cs="Times New Roman"/>
                <w:sz w:val="24"/>
                <w:szCs w:val="24"/>
              </w:rPr>
              <w:tab/>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of 1: Fin. Unstable   </w:t>
            </w:r>
            <w:r>
              <w:rPr>
                <w:rFonts w:ascii="Times New Roman" w:eastAsia="Times New Roman" w:hAnsi="Times New Roman" w:cs="Times New Roman"/>
                <w:sz w:val="24"/>
                <w:szCs w:val="24"/>
              </w:rPr>
              <w:tab/>
            </w:r>
          </w:p>
        </w:tc>
      </w:tr>
      <w:tr w:rsidR="00700AB3">
        <w:trPr>
          <w:trHeight w:val="77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r>
      <w:tr w:rsidR="00700AB3">
        <w:trPr>
          <w:trHeight w:val="77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700AB3">
        <w:trPr>
          <w:trHeight w:val="104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Boosted Classifiers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r>
      <w:tr w:rsidR="00700AB3">
        <w:trPr>
          <w:trHeight w:val="485"/>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700AB3" w:rsidRDefault="00700AB3">
      <w:pPr>
        <w:spacing w:after="200" w:line="240" w:lineRule="auto"/>
        <w:ind w:firstLine="360"/>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67665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6650" cy="2667000"/>
                    </a:xfrm>
                    <a:prstGeom prst="rect">
                      <a:avLst/>
                    </a:prstGeom>
                    <a:ln/>
                  </pic:spPr>
                </pic:pic>
              </a:graphicData>
            </a:graphic>
          </wp:inline>
        </w:drawing>
      </w: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is a comparison of roc curve analysis of the three models, Logistic Regression, Support Vector Classifier k-nearest neighbors and Gradient Boosted Classifier.</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700AB3" w:rsidRDefault="003E7881">
      <w:pPr>
        <w:spacing w:after="200" w:line="24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https://github.com/Sizzlo/Data-698/blob/main/Data698BankruptcyPredictor.ipynb</w:t>
        </w:r>
      </w:hyperlink>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700AB3" w:rsidRDefault="003E7881">
      <w:pPr>
        <w:spacing w:after="200" w:line="240" w:lineRule="auto"/>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https://www.kaggle.com/fedesoriano/company-bankruptcy-prediction</w:t>
        </w:r>
      </w:hyperlink>
    </w:p>
    <w:p w:rsidR="00700AB3" w:rsidRDefault="003E7881">
      <w:pPr>
        <w:spacing w:after="20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Liang, D., Lu, C.-C., Tsai, C.-F., and Shih, G.-A.</w:t>
      </w:r>
      <w:proofErr w:type="gramEnd"/>
      <w:r>
        <w:rPr>
          <w:rFonts w:ascii="Times New Roman" w:eastAsia="Times New Roman" w:hAnsi="Times New Roman" w:cs="Times New Roman"/>
          <w:sz w:val="24"/>
          <w:szCs w:val="24"/>
          <w:highlight w:val="white"/>
        </w:rPr>
        <w:t xml:space="preserve"> (2016) Financial Ratios and Corporate Governance Indicators in Bankruptcy Prediction: A Comprehensive Study. European Journal of</w:t>
      </w:r>
      <w:r>
        <w:rPr>
          <w:rFonts w:ascii="Times New Roman" w:eastAsia="Times New Roman" w:hAnsi="Times New Roman" w:cs="Times New Roman"/>
          <w:sz w:val="24"/>
          <w:szCs w:val="24"/>
          <w:highlight w:val="white"/>
        </w:rPr>
        <w:t xml:space="preserve"> Operational Research, vol. 252, no. 2, pp. 561-572.</w:t>
      </w:r>
    </w:p>
    <w:p w:rsidR="00700AB3" w:rsidRDefault="003E788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Liang, </w:t>
      </w:r>
      <w:proofErr w:type="spellStart"/>
      <w:r>
        <w:rPr>
          <w:rFonts w:ascii="Times New Roman" w:eastAsia="Times New Roman" w:hAnsi="Times New Roman" w:cs="Times New Roman"/>
          <w:sz w:val="24"/>
          <w:szCs w:val="24"/>
        </w:rPr>
        <w:t>Deron</w:t>
      </w:r>
      <w:proofErr w:type="spellEnd"/>
      <w:r>
        <w:rPr>
          <w:rFonts w:ascii="Times New Roman" w:eastAsia="Times New Roman" w:hAnsi="Times New Roman" w:cs="Times New Roman"/>
          <w:sz w:val="24"/>
          <w:szCs w:val="24"/>
        </w:rPr>
        <w:t xml:space="preserve">, et al. “Financial Ratios and Corporate Governance Indicators in Bankruptcy Prediction: A Comprehensive Study.” </w:t>
      </w:r>
      <w:proofErr w:type="gramStart"/>
      <w:r>
        <w:rPr>
          <w:rFonts w:ascii="Times New Roman" w:eastAsia="Times New Roman" w:hAnsi="Times New Roman" w:cs="Times New Roman"/>
          <w:i/>
          <w:sz w:val="24"/>
          <w:szCs w:val="24"/>
        </w:rPr>
        <w:t>European Journal of Operational Research</w:t>
      </w:r>
      <w:r>
        <w:rPr>
          <w:rFonts w:ascii="Times New Roman" w:eastAsia="Times New Roman" w:hAnsi="Times New Roman" w:cs="Times New Roman"/>
          <w:sz w:val="24"/>
          <w:szCs w:val="24"/>
        </w:rPr>
        <w:t>, North-Holland, 13 Jan. 2016, www.sci</w:t>
      </w:r>
      <w:r>
        <w:rPr>
          <w:rFonts w:ascii="Times New Roman" w:eastAsia="Times New Roman" w:hAnsi="Times New Roman" w:cs="Times New Roman"/>
          <w:sz w:val="24"/>
          <w:szCs w:val="24"/>
        </w:rPr>
        <w:t>encedirect.com/science/article/pii/S0377221716000412.</w:t>
      </w:r>
      <w:proofErr w:type="gramEnd"/>
      <w:r>
        <w:rPr>
          <w:rFonts w:ascii="Times New Roman" w:eastAsia="Times New Roman" w:hAnsi="Times New Roman" w:cs="Times New Roman"/>
          <w:sz w:val="24"/>
          <w:szCs w:val="24"/>
        </w:rPr>
        <w:t xml:space="preserve"> </w:t>
      </w:r>
    </w:p>
    <w:p w:rsidR="00700AB3" w:rsidRDefault="003E7881">
      <w:pPr>
        <w:spacing w:after="2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“1.4. Support Vector Machines¶.”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scikit-learn.org/stable/modules/svm.html.</w:t>
      </w:r>
      <w:proofErr w:type="gramEnd"/>
    </w:p>
    <w:p w:rsidR="00700AB3" w:rsidRDefault="003E788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Stewart, et al. “Predicting Corporate Bankruptcy: An Evaluation of Alternative Statistical Frameworks.” </w:t>
      </w:r>
      <w:r>
        <w:rPr>
          <w:rFonts w:ascii="Times New Roman" w:eastAsia="Times New Roman" w:hAnsi="Times New Roman" w:cs="Times New Roman"/>
          <w:i/>
          <w:sz w:val="24"/>
          <w:szCs w:val="24"/>
        </w:rPr>
        <w:t>Wiley Online Library</w:t>
      </w:r>
      <w:r>
        <w:rPr>
          <w:rFonts w:ascii="Times New Roman" w:eastAsia="Times New Roman" w:hAnsi="Times New Roman" w:cs="Times New Roman"/>
          <w:sz w:val="24"/>
          <w:szCs w:val="24"/>
        </w:rPr>
        <w:t>, John Wiley &amp; Sons, Ltd, 27 Oct. 2016, onlinelibrary.wiley.com/</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/abs/10.1111/jbfa.12218. </w:t>
      </w:r>
    </w:p>
    <w:p w:rsidR="00700AB3" w:rsidRDefault="00700AB3">
      <w:pPr>
        <w:spacing w:after="200" w:line="240" w:lineRule="auto"/>
        <w:rPr>
          <w:rFonts w:ascii="Times New Roman" w:eastAsia="Times New Roman" w:hAnsi="Times New Roman" w:cs="Times New Roman"/>
          <w:color w:val="1155CC"/>
          <w:sz w:val="24"/>
          <w:szCs w:val="24"/>
          <w:u w:val="single"/>
        </w:rPr>
      </w:pPr>
    </w:p>
    <w:p w:rsidR="00700AB3" w:rsidRDefault="003E7881">
      <w:pPr>
        <w:numPr>
          <w:ilvl w:val="0"/>
          <w:numId w:val="3"/>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Appendix</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shd w:val="clear" w:color="auto" w:fill="FFFFFF"/>
        <w:spacing w:before="160" w:after="160" w:line="240" w:lineRule="auto"/>
        <w:rPr>
          <w:sz w:val="24"/>
          <w:szCs w:val="24"/>
        </w:rPr>
      </w:pPr>
      <w:r>
        <w:rPr>
          <w:sz w:val="24"/>
          <w:szCs w:val="24"/>
        </w:rPr>
        <w:lastRenderedPageBreak/>
        <w:t>Column names and description to make the data easier to understand (Y = Output feature, X = Input features)</w:t>
      </w:r>
    </w:p>
    <w:p w:rsidR="00700AB3" w:rsidRDefault="003E7881">
      <w:pPr>
        <w:shd w:val="clear" w:color="auto" w:fill="FFFFFF"/>
        <w:spacing w:before="160" w:after="160" w:line="240" w:lineRule="auto"/>
        <w:rPr>
          <w:sz w:val="24"/>
          <w:szCs w:val="24"/>
        </w:rPr>
      </w:pPr>
      <w:r>
        <w:rPr>
          <w:sz w:val="24"/>
          <w:szCs w:val="24"/>
        </w:rPr>
        <w:t>Y - Bankrupt</w:t>
      </w:r>
      <w:proofErr w:type="gramStart"/>
      <w:r>
        <w:rPr>
          <w:sz w:val="24"/>
          <w:szCs w:val="24"/>
        </w:rPr>
        <w:t>?:</w:t>
      </w:r>
      <w:proofErr w:type="gramEnd"/>
      <w:r>
        <w:rPr>
          <w:sz w:val="24"/>
          <w:szCs w:val="24"/>
        </w:rPr>
        <w:t xml:space="preserve"> Class label</w:t>
      </w:r>
    </w:p>
    <w:p w:rsidR="00700AB3" w:rsidRDefault="003E7881">
      <w:pPr>
        <w:shd w:val="clear" w:color="auto" w:fill="FFFFFF"/>
        <w:spacing w:before="160" w:after="160" w:line="240" w:lineRule="auto"/>
        <w:rPr>
          <w:sz w:val="24"/>
          <w:szCs w:val="24"/>
        </w:rPr>
      </w:pPr>
      <w:r>
        <w:rPr>
          <w:sz w:val="24"/>
          <w:szCs w:val="24"/>
        </w:rPr>
        <w:t>X1 - ROA(C) before interest and depreciation before interest: Return On Total Assets(C)</w:t>
      </w:r>
    </w:p>
    <w:p w:rsidR="00700AB3" w:rsidRDefault="003E7881">
      <w:pPr>
        <w:shd w:val="clear" w:color="auto" w:fill="FFFFFF"/>
        <w:spacing w:before="160" w:after="160" w:line="240" w:lineRule="auto"/>
        <w:rPr>
          <w:sz w:val="24"/>
          <w:szCs w:val="24"/>
        </w:rPr>
      </w:pPr>
      <w:r>
        <w:rPr>
          <w:sz w:val="24"/>
          <w:szCs w:val="24"/>
        </w:rPr>
        <w:t xml:space="preserve">X2 - </w:t>
      </w:r>
      <w:proofErr w:type="gramStart"/>
      <w:r>
        <w:rPr>
          <w:sz w:val="24"/>
          <w:szCs w:val="24"/>
        </w:rPr>
        <w:t>ROA(</w:t>
      </w:r>
      <w:proofErr w:type="gramEnd"/>
      <w:r>
        <w:rPr>
          <w:sz w:val="24"/>
          <w:szCs w:val="24"/>
        </w:rPr>
        <w:t>A) before interest and % after tax: Return On Total Assets(A)</w:t>
      </w:r>
    </w:p>
    <w:p w:rsidR="00700AB3" w:rsidRDefault="003E7881">
      <w:pPr>
        <w:shd w:val="clear" w:color="auto" w:fill="FFFFFF"/>
        <w:spacing w:before="160" w:after="160" w:line="240" w:lineRule="auto"/>
        <w:rPr>
          <w:sz w:val="24"/>
          <w:szCs w:val="24"/>
        </w:rPr>
      </w:pPr>
      <w:r>
        <w:rPr>
          <w:sz w:val="24"/>
          <w:szCs w:val="24"/>
        </w:rPr>
        <w:t xml:space="preserve">X3 - </w:t>
      </w:r>
      <w:proofErr w:type="gramStart"/>
      <w:r>
        <w:rPr>
          <w:sz w:val="24"/>
          <w:szCs w:val="24"/>
        </w:rPr>
        <w:t>ROA(</w:t>
      </w:r>
      <w:proofErr w:type="gramEnd"/>
      <w:r>
        <w:rPr>
          <w:sz w:val="24"/>
          <w:szCs w:val="24"/>
        </w:rPr>
        <w:t>B) before interest and depreciation after tax: Return On Tota</w:t>
      </w:r>
      <w:r>
        <w:rPr>
          <w:sz w:val="24"/>
          <w:szCs w:val="24"/>
        </w:rPr>
        <w:t>l Assets(B)</w:t>
      </w:r>
    </w:p>
    <w:p w:rsidR="00700AB3" w:rsidRDefault="003E7881">
      <w:pPr>
        <w:shd w:val="clear" w:color="auto" w:fill="FFFFFF"/>
        <w:spacing w:before="160" w:after="160" w:line="240" w:lineRule="auto"/>
        <w:rPr>
          <w:sz w:val="24"/>
          <w:szCs w:val="24"/>
        </w:rPr>
      </w:pPr>
      <w:bookmarkStart w:id="26" w:name="_heading=h.30j0zll" w:colFirst="0" w:colLast="0"/>
      <w:bookmarkEnd w:id="26"/>
      <w:r>
        <w:rPr>
          <w:sz w:val="24"/>
          <w:szCs w:val="24"/>
        </w:rPr>
        <w:t>X4 - Operating Gross Margin: Gross Profit/Net Sales</w:t>
      </w:r>
    </w:p>
    <w:p w:rsidR="00700AB3" w:rsidRDefault="003E7881">
      <w:pPr>
        <w:shd w:val="clear" w:color="auto" w:fill="FFFFFF"/>
        <w:spacing w:before="160" w:after="160" w:line="240" w:lineRule="auto"/>
        <w:rPr>
          <w:sz w:val="24"/>
          <w:szCs w:val="24"/>
        </w:rPr>
      </w:pPr>
      <w:r>
        <w:rPr>
          <w:sz w:val="24"/>
          <w:szCs w:val="24"/>
        </w:rPr>
        <w:t>X5 - Realized Sales Gross Margin: Realized Gross Profit/Net Sales</w:t>
      </w:r>
    </w:p>
    <w:p w:rsidR="00700AB3" w:rsidRDefault="003E7881">
      <w:pPr>
        <w:shd w:val="clear" w:color="auto" w:fill="FFFFFF"/>
        <w:spacing w:before="160" w:after="160" w:line="240" w:lineRule="auto"/>
        <w:rPr>
          <w:sz w:val="24"/>
          <w:szCs w:val="24"/>
        </w:rPr>
      </w:pPr>
      <w:r>
        <w:rPr>
          <w:sz w:val="24"/>
          <w:szCs w:val="24"/>
        </w:rPr>
        <w:t>X6 - Operating Profit Rate: Operating Income/Net Sales</w:t>
      </w:r>
    </w:p>
    <w:p w:rsidR="00700AB3" w:rsidRDefault="003E7881">
      <w:pPr>
        <w:shd w:val="clear" w:color="auto" w:fill="FFFFFF"/>
        <w:spacing w:before="160" w:after="160" w:line="240" w:lineRule="auto"/>
        <w:rPr>
          <w:sz w:val="24"/>
          <w:szCs w:val="24"/>
        </w:rPr>
      </w:pPr>
      <w:r>
        <w:rPr>
          <w:sz w:val="24"/>
          <w:szCs w:val="24"/>
        </w:rPr>
        <w:t>X7 - Pre-tax net Interest Rate: Pre-Tax Income/Net Sales</w:t>
      </w:r>
    </w:p>
    <w:p w:rsidR="00700AB3" w:rsidRDefault="003E7881">
      <w:pPr>
        <w:shd w:val="clear" w:color="auto" w:fill="FFFFFF"/>
        <w:spacing w:before="160" w:after="160" w:line="240" w:lineRule="auto"/>
        <w:rPr>
          <w:sz w:val="24"/>
          <w:szCs w:val="24"/>
        </w:rPr>
      </w:pPr>
      <w:r>
        <w:rPr>
          <w:sz w:val="24"/>
          <w:szCs w:val="24"/>
        </w:rPr>
        <w:t>X8 - After-tax</w:t>
      </w:r>
      <w:r>
        <w:rPr>
          <w:sz w:val="24"/>
          <w:szCs w:val="24"/>
        </w:rPr>
        <w:t xml:space="preserve"> net Interest Rate: Net Income/Net Sales</w:t>
      </w:r>
    </w:p>
    <w:p w:rsidR="00700AB3" w:rsidRDefault="003E7881">
      <w:pPr>
        <w:shd w:val="clear" w:color="auto" w:fill="FFFFFF"/>
        <w:spacing w:before="160" w:after="160" w:line="240" w:lineRule="auto"/>
        <w:rPr>
          <w:sz w:val="24"/>
          <w:szCs w:val="24"/>
        </w:rPr>
      </w:pPr>
      <w:r>
        <w:rPr>
          <w:sz w:val="24"/>
          <w:szCs w:val="24"/>
        </w:rPr>
        <w:t>X9 - Non-industry income and expenditure/revenue: Net Non-operating Income Ratio</w:t>
      </w:r>
    </w:p>
    <w:p w:rsidR="00700AB3" w:rsidRDefault="003E7881">
      <w:pPr>
        <w:shd w:val="clear" w:color="auto" w:fill="FFFFFF"/>
        <w:spacing w:before="160" w:after="160" w:line="240" w:lineRule="auto"/>
        <w:rPr>
          <w:sz w:val="24"/>
          <w:szCs w:val="24"/>
        </w:rPr>
      </w:pPr>
      <w:r>
        <w:rPr>
          <w:sz w:val="24"/>
          <w:szCs w:val="24"/>
        </w:rPr>
        <w:t>X10 - Continuous interest rate (after tax): Net Income-Exclude Disposal Gain or Loss/Net Sales</w:t>
      </w:r>
    </w:p>
    <w:p w:rsidR="00700AB3" w:rsidRDefault="003E7881">
      <w:pPr>
        <w:shd w:val="clear" w:color="auto" w:fill="FFFFFF"/>
        <w:spacing w:before="160" w:after="160" w:line="240" w:lineRule="auto"/>
        <w:rPr>
          <w:sz w:val="24"/>
          <w:szCs w:val="24"/>
        </w:rPr>
      </w:pPr>
      <w:r>
        <w:rPr>
          <w:sz w:val="24"/>
          <w:szCs w:val="24"/>
        </w:rPr>
        <w:t>X11 - Operating Expense Rate: Operating</w:t>
      </w:r>
      <w:r>
        <w:rPr>
          <w:sz w:val="24"/>
          <w:szCs w:val="24"/>
        </w:rPr>
        <w:t xml:space="preserve"> Expenses/Net Sales</w:t>
      </w:r>
    </w:p>
    <w:p w:rsidR="00700AB3" w:rsidRDefault="003E7881">
      <w:pPr>
        <w:shd w:val="clear" w:color="auto" w:fill="FFFFFF"/>
        <w:spacing w:before="160" w:after="160" w:line="240" w:lineRule="auto"/>
        <w:rPr>
          <w:sz w:val="24"/>
          <w:szCs w:val="24"/>
        </w:rPr>
      </w:pPr>
      <w:r>
        <w:rPr>
          <w:sz w:val="24"/>
          <w:szCs w:val="24"/>
        </w:rPr>
        <w:t>X12 - Research and development expense rate: (Research and Development Expenses)/Net Sales</w:t>
      </w:r>
    </w:p>
    <w:p w:rsidR="00700AB3" w:rsidRDefault="003E7881">
      <w:pPr>
        <w:shd w:val="clear" w:color="auto" w:fill="FFFFFF"/>
        <w:spacing w:before="160" w:after="160" w:line="240" w:lineRule="auto"/>
        <w:rPr>
          <w:sz w:val="24"/>
          <w:szCs w:val="24"/>
        </w:rPr>
      </w:pPr>
      <w:r>
        <w:rPr>
          <w:sz w:val="24"/>
          <w:szCs w:val="24"/>
        </w:rPr>
        <w:t>X13 - Cash flow rate: Cash Flow from Operating/Current Liabilities</w:t>
      </w:r>
    </w:p>
    <w:p w:rsidR="00700AB3" w:rsidRDefault="003E7881">
      <w:pPr>
        <w:shd w:val="clear" w:color="auto" w:fill="FFFFFF"/>
        <w:spacing w:before="160" w:after="160" w:line="240" w:lineRule="auto"/>
        <w:rPr>
          <w:sz w:val="24"/>
          <w:szCs w:val="24"/>
        </w:rPr>
      </w:pPr>
      <w:r>
        <w:rPr>
          <w:sz w:val="24"/>
          <w:szCs w:val="24"/>
        </w:rPr>
        <w:t>X14 - Interest-bearing debt interest rate: Interest-bearing Debt/Equity</w:t>
      </w:r>
    </w:p>
    <w:p w:rsidR="00700AB3" w:rsidRDefault="003E7881">
      <w:pPr>
        <w:shd w:val="clear" w:color="auto" w:fill="FFFFFF"/>
        <w:spacing w:before="160" w:after="160" w:line="240" w:lineRule="auto"/>
        <w:rPr>
          <w:sz w:val="24"/>
          <w:szCs w:val="24"/>
        </w:rPr>
      </w:pPr>
      <w:r>
        <w:rPr>
          <w:sz w:val="24"/>
          <w:szCs w:val="24"/>
        </w:rPr>
        <w:t>X15 - Tax rate (A): Effective Tax Rate</w:t>
      </w:r>
    </w:p>
    <w:p w:rsidR="00700AB3" w:rsidRDefault="003E7881">
      <w:pPr>
        <w:shd w:val="clear" w:color="auto" w:fill="FFFFFF"/>
        <w:spacing w:before="160" w:after="160" w:line="240" w:lineRule="auto"/>
        <w:rPr>
          <w:sz w:val="24"/>
          <w:szCs w:val="24"/>
        </w:rPr>
      </w:pPr>
      <w:r>
        <w:rPr>
          <w:sz w:val="24"/>
          <w:szCs w:val="24"/>
        </w:rPr>
        <w:t xml:space="preserve">X16 - Net Value Per Share (B): Book Value Per </w:t>
      </w:r>
      <w:proofErr w:type="gramStart"/>
      <w:r>
        <w:rPr>
          <w:sz w:val="24"/>
          <w:szCs w:val="24"/>
        </w:rPr>
        <w:t>Share(</w:t>
      </w:r>
      <w:proofErr w:type="gramEnd"/>
      <w:r>
        <w:rPr>
          <w:sz w:val="24"/>
          <w:szCs w:val="24"/>
        </w:rPr>
        <w:t>B)</w:t>
      </w:r>
    </w:p>
    <w:p w:rsidR="00700AB3" w:rsidRDefault="003E7881">
      <w:pPr>
        <w:shd w:val="clear" w:color="auto" w:fill="FFFFFF"/>
        <w:spacing w:before="160" w:after="160" w:line="240" w:lineRule="auto"/>
        <w:rPr>
          <w:sz w:val="24"/>
          <w:szCs w:val="24"/>
        </w:rPr>
      </w:pPr>
      <w:r>
        <w:rPr>
          <w:sz w:val="24"/>
          <w:szCs w:val="24"/>
        </w:rPr>
        <w:t xml:space="preserve">X17 - Net Value Per Share (A): Book Value Per </w:t>
      </w:r>
      <w:proofErr w:type="gramStart"/>
      <w:r>
        <w:rPr>
          <w:sz w:val="24"/>
          <w:szCs w:val="24"/>
        </w:rPr>
        <w:t>Share(</w:t>
      </w:r>
      <w:proofErr w:type="gramEnd"/>
      <w:r>
        <w:rPr>
          <w:sz w:val="24"/>
          <w:szCs w:val="24"/>
        </w:rPr>
        <w:t>A)</w:t>
      </w:r>
    </w:p>
    <w:p w:rsidR="00700AB3" w:rsidRDefault="003E7881">
      <w:pPr>
        <w:shd w:val="clear" w:color="auto" w:fill="FFFFFF"/>
        <w:spacing w:before="160" w:after="160" w:line="240" w:lineRule="auto"/>
        <w:rPr>
          <w:sz w:val="24"/>
          <w:szCs w:val="24"/>
        </w:rPr>
      </w:pPr>
      <w:r>
        <w:rPr>
          <w:sz w:val="24"/>
          <w:szCs w:val="24"/>
        </w:rPr>
        <w:t xml:space="preserve">X18 - Net Value </w:t>
      </w:r>
      <w:proofErr w:type="gramStart"/>
      <w:r>
        <w:rPr>
          <w:sz w:val="24"/>
          <w:szCs w:val="24"/>
        </w:rPr>
        <w:t>Per</w:t>
      </w:r>
      <w:proofErr w:type="gramEnd"/>
      <w:r>
        <w:rPr>
          <w:sz w:val="24"/>
          <w:szCs w:val="24"/>
        </w:rPr>
        <w:t xml:space="preserve"> Share (C): Book Value Per Share(C)</w:t>
      </w:r>
    </w:p>
    <w:p w:rsidR="00700AB3" w:rsidRDefault="003E7881">
      <w:pPr>
        <w:shd w:val="clear" w:color="auto" w:fill="FFFFFF"/>
        <w:spacing w:before="160" w:after="160" w:line="240" w:lineRule="auto"/>
        <w:rPr>
          <w:sz w:val="24"/>
          <w:szCs w:val="24"/>
        </w:rPr>
      </w:pPr>
      <w:r>
        <w:rPr>
          <w:sz w:val="24"/>
          <w:szCs w:val="24"/>
        </w:rPr>
        <w:t>X19 - Persistent EPS in the Last Four Seasons: EPS-N</w:t>
      </w:r>
      <w:r>
        <w:rPr>
          <w:sz w:val="24"/>
          <w:szCs w:val="24"/>
        </w:rPr>
        <w:t>et Income</w:t>
      </w:r>
    </w:p>
    <w:p w:rsidR="00700AB3" w:rsidRDefault="003E7881">
      <w:pPr>
        <w:shd w:val="clear" w:color="auto" w:fill="FFFFFF"/>
        <w:spacing w:before="160" w:after="160" w:line="240" w:lineRule="auto"/>
        <w:rPr>
          <w:sz w:val="24"/>
          <w:szCs w:val="24"/>
        </w:rPr>
      </w:pPr>
      <w:r>
        <w:rPr>
          <w:sz w:val="24"/>
          <w:szCs w:val="24"/>
        </w:rPr>
        <w:t xml:space="preserve">X20 - Cash Flow </w:t>
      </w:r>
      <w:proofErr w:type="gramStart"/>
      <w:r>
        <w:rPr>
          <w:sz w:val="24"/>
          <w:szCs w:val="24"/>
        </w:rPr>
        <w:t>Per</w:t>
      </w:r>
      <w:proofErr w:type="gramEnd"/>
      <w:r>
        <w:rPr>
          <w:sz w:val="24"/>
          <w:szCs w:val="24"/>
        </w:rPr>
        <w:t xml:space="preserve"> Share</w:t>
      </w:r>
    </w:p>
    <w:p w:rsidR="00700AB3" w:rsidRDefault="003E7881">
      <w:pPr>
        <w:shd w:val="clear" w:color="auto" w:fill="FFFFFF"/>
        <w:spacing w:before="160" w:after="160" w:line="240" w:lineRule="auto"/>
        <w:rPr>
          <w:sz w:val="24"/>
          <w:szCs w:val="24"/>
        </w:rPr>
      </w:pPr>
      <w:r>
        <w:rPr>
          <w:sz w:val="24"/>
          <w:szCs w:val="24"/>
        </w:rPr>
        <w:t xml:space="preserve">X21 - Revenue </w:t>
      </w:r>
      <w:proofErr w:type="gramStart"/>
      <w:r>
        <w:rPr>
          <w:sz w:val="24"/>
          <w:szCs w:val="24"/>
        </w:rPr>
        <w:t>Per</w:t>
      </w:r>
      <w:proofErr w:type="gramEnd"/>
      <w:r>
        <w:rPr>
          <w:sz w:val="24"/>
          <w:szCs w:val="24"/>
        </w:rPr>
        <w:t xml:space="preserve"> Share (Yuan ¥): Sales Per Share</w:t>
      </w:r>
    </w:p>
    <w:p w:rsidR="00700AB3" w:rsidRDefault="003E7881">
      <w:pPr>
        <w:shd w:val="clear" w:color="auto" w:fill="FFFFFF"/>
        <w:spacing w:before="160" w:after="160" w:line="240" w:lineRule="auto"/>
        <w:rPr>
          <w:sz w:val="24"/>
          <w:szCs w:val="24"/>
        </w:rPr>
      </w:pPr>
      <w:r>
        <w:rPr>
          <w:sz w:val="24"/>
          <w:szCs w:val="24"/>
        </w:rPr>
        <w:t xml:space="preserve">X22 - Operating Profit </w:t>
      </w:r>
      <w:proofErr w:type="gramStart"/>
      <w:r>
        <w:rPr>
          <w:sz w:val="24"/>
          <w:szCs w:val="24"/>
        </w:rPr>
        <w:t>Per</w:t>
      </w:r>
      <w:proofErr w:type="gramEnd"/>
      <w:r>
        <w:rPr>
          <w:sz w:val="24"/>
          <w:szCs w:val="24"/>
        </w:rPr>
        <w:t xml:space="preserve"> Share (Yuan ¥): Operating Income Per Share</w:t>
      </w:r>
    </w:p>
    <w:p w:rsidR="00700AB3" w:rsidRDefault="003E7881">
      <w:pPr>
        <w:shd w:val="clear" w:color="auto" w:fill="FFFFFF"/>
        <w:spacing w:before="160" w:after="160" w:line="240" w:lineRule="auto"/>
        <w:rPr>
          <w:sz w:val="24"/>
          <w:szCs w:val="24"/>
        </w:rPr>
      </w:pPr>
      <w:r>
        <w:rPr>
          <w:sz w:val="24"/>
          <w:szCs w:val="24"/>
        </w:rPr>
        <w:t xml:space="preserve">X23 - Per Share Net profit before tax (Yuan ¥): Pretax Income </w:t>
      </w:r>
      <w:proofErr w:type="gramStart"/>
      <w:r>
        <w:rPr>
          <w:sz w:val="24"/>
          <w:szCs w:val="24"/>
        </w:rPr>
        <w:t>Per</w:t>
      </w:r>
      <w:proofErr w:type="gramEnd"/>
      <w:r>
        <w:rPr>
          <w:sz w:val="24"/>
          <w:szCs w:val="24"/>
        </w:rPr>
        <w:t xml:space="preserve"> Share</w:t>
      </w:r>
    </w:p>
    <w:p w:rsidR="00700AB3" w:rsidRDefault="003E7881">
      <w:pPr>
        <w:shd w:val="clear" w:color="auto" w:fill="FFFFFF"/>
        <w:spacing w:before="160" w:after="160" w:line="240" w:lineRule="auto"/>
        <w:rPr>
          <w:sz w:val="24"/>
          <w:szCs w:val="24"/>
        </w:rPr>
      </w:pPr>
      <w:r>
        <w:rPr>
          <w:sz w:val="24"/>
          <w:szCs w:val="24"/>
        </w:rPr>
        <w:t>X24 - Realized Sales Gross P</w:t>
      </w:r>
      <w:r>
        <w:rPr>
          <w:sz w:val="24"/>
          <w:szCs w:val="24"/>
        </w:rPr>
        <w:t>rofit Growth Rate</w:t>
      </w:r>
    </w:p>
    <w:p w:rsidR="00700AB3" w:rsidRDefault="003E7881">
      <w:pPr>
        <w:shd w:val="clear" w:color="auto" w:fill="FFFFFF"/>
        <w:spacing w:before="160" w:after="160" w:line="240" w:lineRule="auto"/>
        <w:rPr>
          <w:sz w:val="24"/>
          <w:szCs w:val="24"/>
        </w:rPr>
      </w:pPr>
      <w:r>
        <w:rPr>
          <w:sz w:val="24"/>
          <w:szCs w:val="24"/>
        </w:rPr>
        <w:t>X25 - Operating Profit Growth Rate: Operating Income Growth</w:t>
      </w:r>
    </w:p>
    <w:p w:rsidR="00700AB3" w:rsidRDefault="003E7881">
      <w:pPr>
        <w:shd w:val="clear" w:color="auto" w:fill="FFFFFF"/>
        <w:spacing w:before="160" w:after="160" w:line="240" w:lineRule="auto"/>
        <w:rPr>
          <w:sz w:val="24"/>
          <w:szCs w:val="24"/>
        </w:rPr>
      </w:pPr>
      <w:r>
        <w:rPr>
          <w:sz w:val="24"/>
          <w:szCs w:val="24"/>
        </w:rPr>
        <w:lastRenderedPageBreak/>
        <w:t>X26 - After-tax Net Profit Growth Rate: Net Income Growth</w:t>
      </w:r>
    </w:p>
    <w:p w:rsidR="00700AB3" w:rsidRDefault="003E7881">
      <w:pPr>
        <w:shd w:val="clear" w:color="auto" w:fill="FFFFFF"/>
        <w:spacing w:before="160" w:after="160" w:line="240" w:lineRule="auto"/>
        <w:rPr>
          <w:sz w:val="24"/>
          <w:szCs w:val="24"/>
        </w:rPr>
      </w:pPr>
      <w:r>
        <w:rPr>
          <w:sz w:val="24"/>
          <w:szCs w:val="24"/>
        </w:rPr>
        <w:t>X27 - Regular Net Profit Growth Rate: Continuing Operating Income after Tax Growth</w:t>
      </w:r>
    </w:p>
    <w:p w:rsidR="00700AB3" w:rsidRDefault="003E7881">
      <w:pPr>
        <w:shd w:val="clear" w:color="auto" w:fill="FFFFFF"/>
        <w:spacing w:before="160" w:after="160" w:line="240" w:lineRule="auto"/>
        <w:rPr>
          <w:sz w:val="24"/>
          <w:szCs w:val="24"/>
        </w:rPr>
      </w:pPr>
      <w:r>
        <w:rPr>
          <w:sz w:val="24"/>
          <w:szCs w:val="24"/>
        </w:rPr>
        <w:t>X28 - Continuous Net Profit Growth Ra</w:t>
      </w:r>
      <w:r>
        <w:rPr>
          <w:sz w:val="24"/>
          <w:szCs w:val="24"/>
        </w:rPr>
        <w:t>te: Net Income-Excluding Disposal Gain or Loss Growth</w:t>
      </w:r>
    </w:p>
    <w:p w:rsidR="00700AB3" w:rsidRDefault="003E7881">
      <w:pPr>
        <w:shd w:val="clear" w:color="auto" w:fill="FFFFFF"/>
        <w:spacing w:before="160" w:after="160" w:line="240" w:lineRule="auto"/>
        <w:rPr>
          <w:sz w:val="24"/>
          <w:szCs w:val="24"/>
        </w:rPr>
      </w:pPr>
      <w:r>
        <w:rPr>
          <w:sz w:val="24"/>
          <w:szCs w:val="24"/>
        </w:rPr>
        <w:t>X29 - Total Asset Growth Rate: Total Asset Growth</w:t>
      </w:r>
    </w:p>
    <w:p w:rsidR="00700AB3" w:rsidRDefault="003E7881">
      <w:pPr>
        <w:shd w:val="clear" w:color="auto" w:fill="FFFFFF"/>
        <w:spacing w:before="160" w:after="160" w:line="240" w:lineRule="auto"/>
        <w:rPr>
          <w:sz w:val="24"/>
          <w:szCs w:val="24"/>
        </w:rPr>
      </w:pPr>
      <w:r>
        <w:rPr>
          <w:sz w:val="24"/>
          <w:szCs w:val="24"/>
        </w:rPr>
        <w:t>X30 - Net Value Growth Rate: Total Equity Growth</w:t>
      </w:r>
    </w:p>
    <w:p w:rsidR="00700AB3" w:rsidRDefault="003E7881">
      <w:pPr>
        <w:shd w:val="clear" w:color="auto" w:fill="FFFFFF"/>
        <w:spacing w:before="160" w:after="160" w:line="240" w:lineRule="auto"/>
        <w:rPr>
          <w:sz w:val="24"/>
          <w:szCs w:val="24"/>
        </w:rPr>
      </w:pPr>
      <w:r>
        <w:rPr>
          <w:sz w:val="24"/>
          <w:szCs w:val="24"/>
        </w:rPr>
        <w:t>X31 - Total Asset Return Growth Rate Ratio: Return on Total Asset Growth</w:t>
      </w:r>
    </w:p>
    <w:p w:rsidR="00700AB3" w:rsidRDefault="003E7881">
      <w:pPr>
        <w:shd w:val="clear" w:color="auto" w:fill="FFFFFF"/>
        <w:spacing w:before="160" w:after="160" w:line="240" w:lineRule="auto"/>
        <w:rPr>
          <w:sz w:val="24"/>
          <w:szCs w:val="24"/>
        </w:rPr>
      </w:pPr>
      <w:r>
        <w:rPr>
          <w:sz w:val="24"/>
          <w:szCs w:val="24"/>
        </w:rPr>
        <w:t>X32 - Cash Reinvestment %: Cas</w:t>
      </w:r>
      <w:r>
        <w:rPr>
          <w:sz w:val="24"/>
          <w:szCs w:val="24"/>
        </w:rPr>
        <w:t>h Reinvestment Ratio</w:t>
      </w:r>
    </w:p>
    <w:p w:rsidR="00700AB3" w:rsidRDefault="003E7881">
      <w:pPr>
        <w:shd w:val="clear" w:color="auto" w:fill="FFFFFF"/>
        <w:spacing w:before="160" w:after="160" w:line="240" w:lineRule="auto"/>
        <w:rPr>
          <w:sz w:val="24"/>
          <w:szCs w:val="24"/>
        </w:rPr>
      </w:pPr>
      <w:r>
        <w:rPr>
          <w:sz w:val="24"/>
          <w:szCs w:val="24"/>
        </w:rPr>
        <w:t>X33 - Current Ratio</w:t>
      </w:r>
    </w:p>
    <w:p w:rsidR="00700AB3" w:rsidRDefault="003E7881">
      <w:pPr>
        <w:shd w:val="clear" w:color="auto" w:fill="FFFFFF"/>
        <w:spacing w:before="160" w:after="160" w:line="240" w:lineRule="auto"/>
        <w:rPr>
          <w:sz w:val="24"/>
          <w:szCs w:val="24"/>
        </w:rPr>
      </w:pPr>
      <w:r>
        <w:rPr>
          <w:sz w:val="24"/>
          <w:szCs w:val="24"/>
        </w:rPr>
        <w:t>X34 - Quick Ratio: Acid Test</w:t>
      </w:r>
    </w:p>
    <w:p w:rsidR="00700AB3" w:rsidRDefault="003E7881">
      <w:pPr>
        <w:shd w:val="clear" w:color="auto" w:fill="FFFFFF"/>
        <w:spacing w:before="160" w:after="160" w:line="240" w:lineRule="auto"/>
        <w:rPr>
          <w:sz w:val="24"/>
          <w:szCs w:val="24"/>
        </w:rPr>
      </w:pPr>
      <w:r>
        <w:rPr>
          <w:sz w:val="24"/>
          <w:szCs w:val="24"/>
        </w:rPr>
        <w:t>X35 - Interest Expense Ratio: Interest Expenses/Total Revenue</w:t>
      </w:r>
    </w:p>
    <w:p w:rsidR="00700AB3" w:rsidRDefault="003E7881">
      <w:pPr>
        <w:shd w:val="clear" w:color="auto" w:fill="FFFFFF"/>
        <w:spacing w:before="160" w:after="160" w:line="240" w:lineRule="auto"/>
        <w:rPr>
          <w:sz w:val="24"/>
          <w:szCs w:val="24"/>
        </w:rPr>
      </w:pPr>
      <w:r>
        <w:rPr>
          <w:sz w:val="24"/>
          <w:szCs w:val="24"/>
        </w:rPr>
        <w:t>X36 - Total debt/Total net worth: Total Liability/Equity Ratio</w:t>
      </w:r>
    </w:p>
    <w:p w:rsidR="00700AB3" w:rsidRDefault="003E7881">
      <w:pPr>
        <w:shd w:val="clear" w:color="auto" w:fill="FFFFFF"/>
        <w:spacing w:before="160" w:after="160" w:line="240" w:lineRule="auto"/>
        <w:rPr>
          <w:sz w:val="24"/>
          <w:szCs w:val="24"/>
        </w:rPr>
      </w:pPr>
      <w:r>
        <w:rPr>
          <w:sz w:val="24"/>
          <w:szCs w:val="24"/>
        </w:rPr>
        <w:t>X37 - Debt ratio %: Liability/Total Assets</w:t>
      </w:r>
    </w:p>
    <w:p w:rsidR="00700AB3" w:rsidRDefault="003E7881">
      <w:pPr>
        <w:shd w:val="clear" w:color="auto" w:fill="FFFFFF"/>
        <w:spacing w:before="160" w:after="160" w:line="240" w:lineRule="auto"/>
        <w:rPr>
          <w:sz w:val="24"/>
          <w:szCs w:val="24"/>
        </w:rPr>
      </w:pPr>
      <w:r>
        <w:rPr>
          <w:sz w:val="24"/>
          <w:szCs w:val="24"/>
        </w:rPr>
        <w:t>X38 - Net worth/Assets: Equity/Total Assets</w:t>
      </w:r>
    </w:p>
    <w:p w:rsidR="00700AB3" w:rsidRDefault="003E7881">
      <w:pPr>
        <w:shd w:val="clear" w:color="auto" w:fill="FFFFFF"/>
        <w:spacing w:before="160" w:after="160" w:line="240" w:lineRule="auto"/>
        <w:rPr>
          <w:sz w:val="24"/>
          <w:szCs w:val="24"/>
        </w:rPr>
      </w:pPr>
      <w:r>
        <w:rPr>
          <w:sz w:val="24"/>
          <w:szCs w:val="24"/>
        </w:rPr>
        <w:t xml:space="preserve">X39 - Long-term fund suitability ratio (A): (Long-term </w:t>
      </w:r>
      <w:proofErr w:type="spellStart"/>
      <w:r>
        <w:rPr>
          <w:sz w:val="24"/>
          <w:szCs w:val="24"/>
        </w:rPr>
        <w:t>Liability+Equity</w:t>
      </w:r>
      <w:proofErr w:type="spellEnd"/>
      <w:r>
        <w:rPr>
          <w:sz w:val="24"/>
          <w:szCs w:val="24"/>
        </w:rPr>
        <w:t>)/Fixed Assets</w:t>
      </w:r>
    </w:p>
    <w:p w:rsidR="00700AB3" w:rsidRDefault="003E7881">
      <w:pPr>
        <w:shd w:val="clear" w:color="auto" w:fill="FFFFFF"/>
        <w:spacing w:before="160" w:after="160" w:line="240" w:lineRule="auto"/>
        <w:rPr>
          <w:sz w:val="24"/>
          <w:szCs w:val="24"/>
        </w:rPr>
      </w:pPr>
      <w:r>
        <w:rPr>
          <w:sz w:val="24"/>
          <w:szCs w:val="24"/>
        </w:rPr>
        <w:t>X40 - Borrowing dependency: Cost of Interest-bearing Debt</w:t>
      </w:r>
    </w:p>
    <w:p w:rsidR="00700AB3" w:rsidRDefault="003E7881">
      <w:pPr>
        <w:shd w:val="clear" w:color="auto" w:fill="FFFFFF"/>
        <w:spacing w:before="160" w:after="160" w:line="240" w:lineRule="auto"/>
        <w:rPr>
          <w:sz w:val="24"/>
          <w:szCs w:val="24"/>
        </w:rPr>
      </w:pPr>
      <w:r>
        <w:rPr>
          <w:sz w:val="24"/>
          <w:szCs w:val="24"/>
        </w:rPr>
        <w:t>X41 - Contingent liabilities/Net worth: Contingent Liability/Equity</w:t>
      </w:r>
    </w:p>
    <w:p w:rsidR="00700AB3" w:rsidRDefault="003E7881">
      <w:pPr>
        <w:shd w:val="clear" w:color="auto" w:fill="FFFFFF"/>
        <w:spacing w:before="160" w:after="160" w:line="240" w:lineRule="auto"/>
        <w:rPr>
          <w:sz w:val="24"/>
          <w:szCs w:val="24"/>
        </w:rPr>
      </w:pPr>
      <w:r>
        <w:rPr>
          <w:sz w:val="24"/>
          <w:szCs w:val="24"/>
        </w:rPr>
        <w:t>X42 - Operating profit/Paid-in capital: Operating Income/Capital</w:t>
      </w:r>
    </w:p>
    <w:p w:rsidR="00700AB3" w:rsidRDefault="003E7881">
      <w:pPr>
        <w:shd w:val="clear" w:color="auto" w:fill="FFFFFF"/>
        <w:spacing w:before="160" w:after="160" w:line="240" w:lineRule="auto"/>
        <w:rPr>
          <w:sz w:val="24"/>
          <w:szCs w:val="24"/>
        </w:rPr>
      </w:pPr>
      <w:r>
        <w:rPr>
          <w:sz w:val="24"/>
          <w:szCs w:val="24"/>
        </w:rPr>
        <w:t>X43 - Net profit before tax/Paid-in capital: Pretax Income/Capital</w:t>
      </w:r>
    </w:p>
    <w:p w:rsidR="00700AB3" w:rsidRDefault="003E7881">
      <w:pPr>
        <w:shd w:val="clear" w:color="auto" w:fill="FFFFFF"/>
        <w:spacing w:before="160" w:after="160" w:line="240" w:lineRule="auto"/>
        <w:rPr>
          <w:sz w:val="24"/>
          <w:szCs w:val="24"/>
        </w:rPr>
      </w:pPr>
      <w:r>
        <w:rPr>
          <w:sz w:val="24"/>
          <w:szCs w:val="24"/>
        </w:rPr>
        <w:t>X44 - Inventory and accounts receivable/Net value: (</w:t>
      </w:r>
      <w:proofErr w:type="spellStart"/>
      <w:r>
        <w:rPr>
          <w:sz w:val="24"/>
          <w:szCs w:val="24"/>
        </w:rPr>
        <w:t>Inventory+Accounts</w:t>
      </w:r>
      <w:proofErr w:type="spellEnd"/>
      <w:r>
        <w:rPr>
          <w:sz w:val="24"/>
          <w:szCs w:val="24"/>
        </w:rPr>
        <w:t xml:space="preserve"> Receivables)/Equity</w:t>
      </w:r>
    </w:p>
    <w:p w:rsidR="00700AB3" w:rsidRDefault="003E7881">
      <w:pPr>
        <w:shd w:val="clear" w:color="auto" w:fill="FFFFFF"/>
        <w:spacing w:before="160" w:after="160" w:line="240" w:lineRule="auto"/>
        <w:rPr>
          <w:sz w:val="24"/>
          <w:szCs w:val="24"/>
        </w:rPr>
      </w:pPr>
      <w:r>
        <w:rPr>
          <w:sz w:val="24"/>
          <w:szCs w:val="24"/>
        </w:rPr>
        <w:t>X45 - Total Asset Turnover</w:t>
      </w:r>
    </w:p>
    <w:p w:rsidR="00700AB3" w:rsidRDefault="003E7881">
      <w:pPr>
        <w:shd w:val="clear" w:color="auto" w:fill="FFFFFF"/>
        <w:spacing w:before="160" w:after="160" w:line="240" w:lineRule="auto"/>
        <w:rPr>
          <w:sz w:val="24"/>
          <w:szCs w:val="24"/>
        </w:rPr>
      </w:pPr>
      <w:r>
        <w:rPr>
          <w:sz w:val="24"/>
          <w:szCs w:val="24"/>
        </w:rPr>
        <w:t xml:space="preserve">X46 - </w:t>
      </w:r>
      <w:r>
        <w:rPr>
          <w:sz w:val="24"/>
          <w:szCs w:val="24"/>
        </w:rPr>
        <w:t>Accounts Receivable Turnover</w:t>
      </w:r>
    </w:p>
    <w:p w:rsidR="00700AB3" w:rsidRDefault="003E7881">
      <w:pPr>
        <w:shd w:val="clear" w:color="auto" w:fill="FFFFFF"/>
        <w:spacing w:before="160" w:after="160" w:line="240" w:lineRule="auto"/>
        <w:rPr>
          <w:sz w:val="24"/>
          <w:szCs w:val="24"/>
        </w:rPr>
      </w:pPr>
      <w:r>
        <w:rPr>
          <w:sz w:val="24"/>
          <w:szCs w:val="24"/>
        </w:rPr>
        <w:t>X47 - Average Collection Days: Days Receivable Outstanding</w:t>
      </w:r>
    </w:p>
    <w:p w:rsidR="00700AB3" w:rsidRDefault="003E7881">
      <w:pPr>
        <w:shd w:val="clear" w:color="auto" w:fill="FFFFFF"/>
        <w:spacing w:before="160" w:after="160" w:line="240" w:lineRule="auto"/>
        <w:rPr>
          <w:sz w:val="24"/>
          <w:szCs w:val="24"/>
        </w:rPr>
      </w:pPr>
      <w:r>
        <w:rPr>
          <w:sz w:val="24"/>
          <w:szCs w:val="24"/>
        </w:rPr>
        <w:t>X48 - Inventory Turnover Rate (times)</w:t>
      </w:r>
    </w:p>
    <w:p w:rsidR="00700AB3" w:rsidRDefault="003E7881">
      <w:pPr>
        <w:shd w:val="clear" w:color="auto" w:fill="FFFFFF"/>
        <w:spacing w:before="160" w:after="160" w:line="240" w:lineRule="auto"/>
        <w:rPr>
          <w:sz w:val="24"/>
          <w:szCs w:val="24"/>
        </w:rPr>
      </w:pPr>
      <w:r>
        <w:rPr>
          <w:sz w:val="24"/>
          <w:szCs w:val="24"/>
        </w:rPr>
        <w:t>X49 - Fixed Assets Turnover Frequency</w:t>
      </w:r>
    </w:p>
    <w:p w:rsidR="00700AB3" w:rsidRDefault="003E7881">
      <w:pPr>
        <w:shd w:val="clear" w:color="auto" w:fill="FFFFFF"/>
        <w:spacing w:before="160" w:after="160" w:line="240" w:lineRule="auto"/>
        <w:rPr>
          <w:sz w:val="24"/>
          <w:szCs w:val="24"/>
        </w:rPr>
      </w:pPr>
      <w:r>
        <w:rPr>
          <w:sz w:val="24"/>
          <w:szCs w:val="24"/>
        </w:rPr>
        <w:t xml:space="preserve">X50 - Net </w:t>
      </w:r>
      <w:proofErr w:type="gramStart"/>
      <w:r>
        <w:rPr>
          <w:sz w:val="24"/>
          <w:szCs w:val="24"/>
        </w:rPr>
        <w:t>Worth</w:t>
      </w:r>
      <w:proofErr w:type="gramEnd"/>
      <w:r>
        <w:rPr>
          <w:sz w:val="24"/>
          <w:szCs w:val="24"/>
        </w:rPr>
        <w:t xml:space="preserve"> Turnover Rate (times): Equity Turnover</w:t>
      </w:r>
    </w:p>
    <w:p w:rsidR="00700AB3" w:rsidRDefault="003E7881">
      <w:pPr>
        <w:shd w:val="clear" w:color="auto" w:fill="FFFFFF"/>
        <w:spacing w:before="160" w:after="160" w:line="240" w:lineRule="auto"/>
        <w:rPr>
          <w:sz w:val="24"/>
          <w:szCs w:val="24"/>
        </w:rPr>
      </w:pPr>
      <w:r>
        <w:rPr>
          <w:sz w:val="24"/>
          <w:szCs w:val="24"/>
        </w:rPr>
        <w:t xml:space="preserve">X51 - Revenue per person: Sales </w:t>
      </w:r>
      <w:proofErr w:type="gramStart"/>
      <w:r>
        <w:rPr>
          <w:sz w:val="24"/>
          <w:szCs w:val="24"/>
        </w:rPr>
        <w:t>Per</w:t>
      </w:r>
      <w:proofErr w:type="gramEnd"/>
      <w:r>
        <w:rPr>
          <w:sz w:val="24"/>
          <w:szCs w:val="24"/>
        </w:rPr>
        <w:t xml:space="preserve"> E</w:t>
      </w:r>
      <w:r>
        <w:rPr>
          <w:sz w:val="24"/>
          <w:szCs w:val="24"/>
        </w:rPr>
        <w:t>mployee</w:t>
      </w:r>
    </w:p>
    <w:p w:rsidR="00700AB3" w:rsidRDefault="003E7881">
      <w:pPr>
        <w:shd w:val="clear" w:color="auto" w:fill="FFFFFF"/>
        <w:spacing w:before="160" w:after="160" w:line="240" w:lineRule="auto"/>
        <w:rPr>
          <w:sz w:val="24"/>
          <w:szCs w:val="24"/>
        </w:rPr>
      </w:pPr>
      <w:r>
        <w:rPr>
          <w:sz w:val="24"/>
          <w:szCs w:val="24"/>
        </w:rPr>
        <w:t xml:space="preserve">X52 - Operating profit per person: Operation Income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t xml:space="preserve">X53 - Allocation rate per person: Fixed Assets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lastRenderedPageBreak/>
        <w:t>X54 - Working Capital to Total Assets</w:t>
      </w:r>
    </w:p>
    <w:p w:rsidR="00700AB3" w:rsidRDefault="003E7881">
      <w:pPr>
        <w:shd w:val="clear" w:color="auto" w:fill="FFFFFF"/>
        <w:spacing w:before="160" w:after="160" w:line="240" w:lineRule="auto"/>
        <w:rPr>
          <w:sz w:val="24"/>
          <w:szCs w:val="24"/>
        </w:rPr>
      </w:pPr>
      <w:r>
        <w:rPr>
          <w:sz w:val="24"/>
          <w:szCs w:val="24"/>
        </w:rPr>
        <w:t>X55 - Quick Assets/Total Assets</w:t>
      </w:r>
    </w:p>
    <w:p w:rsidR="00700AB3" w:rsidRDefault="003E7881">
      <w:pPr>
        <w:shd w:val="clear" w:color="auto" w:fill="FFFFFF"/>
        <w:spacing w:before="160" w:after="160" w:line="240" w:lineRule="auto"/>
        <w:rPr>
          <w:sz w:val="24"/>
          <w:szCs w:val="24"/>
        </w:rPr>
      </w:pPr>
      <w:r>
        <w:rPr>
          <w:sz w:val="24"/>
          <w:szCs w:val="24"/>
        </w:rPr>
        <w:t>X56 - Current Assets/Total Assets</w:t>
      </w:r>
    </w:p>
    <w:p w:rsidR="00700AB3" w:rsidRDefault="003E7881">
      <w:pPr>
        <w:shd w:val="clear" w:color="auto" w:fill="FFFFFF"/>
        <w:spacing w:before="160" w:after="160" w:line="240" w:lineRule="auto"/>
        <w:rPr>
          <w:sz w:val="24"/>
          <w:szCs w:val="24"/>
        </w:rPr>
      </w:pPr>
      <w:r>
        <w:rPr>
          <w:sz w:val="24"/>
          <w:szCs w:val="24"/>
        </w:rPr>
        <w:t>X57 - Cash/Total As</w:t>
      </w:r>
      <w:r>
        <w:rPr>
          <w:sz w:val="24"/>
          <w:szCs w:val="24"/>
        </w:rPr>
        <w:t>sets</w:t>
      </w:r>
    </w:p>
    <w:p w:rsidR="00700AB3" w:rsidRDefault="003E7881">
      <w:pPr>
        <w:shd w:val="clear" w:color="auto" w:fill="FFFFFF"/>
        <w:spacing w:before="160" w:after="160" w:line="240" w:lineRule="auto"/>
        <w:rPr>
          <w:sz w:val="24"/>
          <w:szCs w:val="24"/>
        </w:rPr>
      </w:pPr>
      <w:r>
        <w:rPr>
          <w:sz w:val="24"/>
          <w:szCs w:val="24"/>
        </w:rPr>
        <w:t>X58 - Quick Assets/Current Liability</w:t>
      </w:r>
    </w:p>
    <w:p w:rsidR="00700AB3" w:rsidRDefault="003E7881">
      <w:pPr>
        <w:shd w:val="clear" w:color="auto" w:fill="FFFFFF"/>
        <w:spacing w:before="160" w:after="160" w:line="240" w:lineRule="auto"/>
        <w:rPr>
          <w:sz w:val="24"/>
          <w:szCs w:val="24"/>
        </w:rPr>
      </w:pPr>
      <w:r>
        <w:rPr>
          <w:sz w:val="24"/>
          <w:szCs w:val="24"/>
        </w:rPr>
        <w:t>X59 - Cash/Current Liability</w:t>
      </w:r>
    </w:p>
    <w:p w:rsidR="00700AB3" w:rsidRDefault="003E7881">
      <w:pPr>
        <w:shd w:val="clear" w:color="auto" w:fill="FFFFFF"/>
        <w:spacing w:before="160" w:after="160" w:line="240" w:lineRule="auto"/>
        <w:rPr>
          <w:sz w:val="24"/>
          <w:szCs w:val="24"/>
        </w:rPr>
      </w:pPr>
      <w:r>
        <w:rPr>
          <w:sz w:val="24"/>
          <w:szCs w:val="24"/>
        </w:rPr>
        <w:t>X60 - Current Liability to Assets</w:t>
      </w:r>
    </w:p>
    <w:p w:rsidR="00700AB3" w:rsidRDefault="003E7881">
      <w:pPr>
        <w:shd w:val="clear" w:color="auto" w:fill="FFFFFF"/>
        <w:spacing w:before="160" w:after="160" w:line="240" w:lineRule="auto"/>
        <w:rPr>
          <w:sz w:val="24"/>
          <w:szCs w:val="24"/>
        </w:rPr>
      </w:pPr>
      <w:r>
        <w:rPr>
          <w:sz w:val="24"/>
          <w:szCs w:val="24"/>
        </w:rPr>
        <w:t>X61 - Operating Funds to Liability</w:t>
      </w:r>
    </w:p>
    <w:p w:rsidR="00700AB3" w:rsidRDefault="003E7881">
      <w:pPr>
        <w:shd w:val="clear" w:color="auto" w:fill="FFFFFF"/>
        <w:spacing w:before="160" w:after="160" w:line="240" w:lineRule="auto"/>
        <w:rPr>
          <w:sz w:val="24"/>
          <w:szCs w:val="24"/>
        </w:rPr>
      </w:pPr>
      <w:r>
        <w:rPr>
          <w:sz w:val="24"/>
          <w:szCs w:val="24"/>
        </w:rPr>
        <w:t>X62 - Inventory/Working Capital</w:t>
      </w:r>
    </w:p>
    <w:p w:rsidR="00700AB3" w:rsidRDefault="003E7881">
      <w:pPr>
        <w:shd w:val="clear" w:color="auto" w:fill="FFFFFF"/>
        <w:spacing w:before="160" w:after="160" w:line="240" w:lineRule="auto"/>
        <w:rPr>
          <w:sz w:val="24"/>
          <w:szCs w:val="24"/>
        </w:rPr>
      </w:pPr>
      <w:r>
        <w:rPr>
          <w:sz w:val="24"/>
          <w:szCs w:val="24"/>
        </w:rPr>
        <w:t>X63 - Inventory/Current Liability</w:t>
      </w:r>
    </w:p>
    <w:p w:rsidR="00700AB3" w:rsidRDefault="003E7881">
      <w:pPr>
        <w:shd w:val="clear" w:color="auto" w:fill="FFFFFF"/>
        <w:spacing w:before="160" w:after="160" w:line="240" w:lineRule="auto"/>
        <w:rPr>
          <w:sz w:val="24"/>
          <w:szCs w:val="24"/>
        </w:rPr>
      </w:pPr>
      <w:r>
        <w:rPr>
          <w:sz w:val="24"/>
          <w:szCs w:val="24"/>
        </w:rPr>
        <w:t>X64 - Current Liabilities/Liability</w:t>
      </w:r>
    </w:p>
    <w:p w:rsidR="00700AB3" w:rsidRDefault="003E7881">
      <w:pPr>
        <w:shd w:val="clear" w:color="auto" w:fill="FFFFFF"/>
        <w:spacing w:before="160" w:after="160" w:line="240" w:lineRule="auto"/>
        <w:rPr>
          <w:sz w:val="24"/>
          <w:szCs w:val="24"/>
        </w:rPr>
      </w:pPr>
      <w:r>
        <w:rPr>
          <w:sz w:val="24"/>
          <w:szCs w:val="24"/>
        </w:rPr>
        <w:t xml:space="preserve">X65 - Working </w:t>
      </w:r>
      <w:r>
        <w:rPr>
          <w:sz w:val="24"/>
          <w:szCs w:val="24"/>
        </w:rPr>
        <w:t>Capital/Equity</w:t>
      </w:r>
    </w:p>
    <w:p w:rsidR="00700AB3" w:rsidRDefault="003E7881">
      <w:pPr>
        <w:shd w:val="clear" w:color="auto" w:fill="FFFFFF"/>
        <w:spacing w:before="160" w:after="160" w:line="240" w:lineRule="auto"/>
        <w:rPr>
          <w:sz w:val="24"/>
          <w:szCs w:val="24"/>
        </w:rPr>
      </w:pPr>
      <w:r>
        <w:rPr>
          <w:sz w:val="24"/>
          <w:szCs w:val="24"/>
        </w:rPr>
        <w:t>X66 - Current Liabilities/Equity</w:t>
      </w:r>
    </w:p>
    <w:p w:rsidR="00700AB3" w:rsidRDefault="003E7881">
      <w:pPr>
        <w:shd w:val="clear" w:color="auto" w:fill="FFFFFF"/>
        <w:spacing w:before="160" w:after="160" w:line="240" w:lineRule="auto"/>
        <w:rPr>
          <w:sz w:val="24"/>
          <w:szCs w:val="24"/>
        </w:rPr>
      </w:pPr>
      <w:r>
        <w:rPr>
          <w:sz w:val="24"/>
          <w:szCs w:val="24"/>
        </w:rPr>
        <w:t>X67 - Long-term Liability to Current Assets</w:t>
      </w:r>
    </w:p>
    <w:p w:rsidR="00700AB3" w:rsidRDefault="003E7881">
      <w:pPr>
        <w:shd w:val="clear" w:color="auto" w:fill="FFFFFF"/>
        <w:spacing w:before="160" w:after="160" w:line="240" w:lineRule="auto"/>
        <w:rPr>
          <w:sz w:val="24"/>
          <w:szCs w:val="24"/>
        </w:rPr>
      </w:pPr>
      <w:r>
        <w:rPr>
          <w:sz w:val="24"/>
          <w:szCs w:val="24"/>
        </w:rPr>
        <w:t>X68 - Retained Earnings to Total Assets</w:t>
      </w:r>
    </w:p>
    <w:p w:rsidR="00700AB3" w:rsidRDefault="003E7881">
      <w:pPr>
        <w:shd w:val="clear" w:color="auto" w:fill="FFFFFF"/>
        <w:spacing w:before="160" w:after="160" w:line="240" w:lineRule="auto"/>
        <w:rPr>
          <w:sz w:val="24"/>
          <w:szCs w:val="24"/>
        </w:rPr>
      </w:pPr>
      <w:r>
        <w:rPr>
          <w:sz w:val="24"/>
          <w:szCs w:val="24"/>
        </w:rPr>
        <w:t>X69 - Total income/Total expense</w:t>
      </w:r>
    </w:p>
    <w:p w:rsidR="00700AB3" w:rsidRDefault="003E7881">
      <w:pPr>
        <w:shd w:val="clear" w:color="auto" w:fill="FFFFFF"/>
        <w:spacing w:before="160" w:after="160" w:line="240" w:lineRule="auto"/>
        <w:rPr>
          <w:sz w:val="24"/>
          <w:szCs w:val="24"/>
        </w:rPr>
      </w:pPr>
      <w:r>
        <w:rPr>
          <w:sz w:val="24"/>
          <w:szCs w:val="24"/>
        </w:rPr>
        <w:t>X70 - Total expense/Assets</w:t>
      </w:r>
    </w:p>
    <w:p w:rsidR="00700AB3" w:rsidRDefault="003E7881">
      <w:pPr>
        <w:shd w:val="clear" w:color="auto" w:fill="FFFFFF"/>
        <w:spacing w:before="160" w:after="160" w:line="240" w:lineRule="auto"/>
        <w:rPr>
          <w:sz w:val="24"/>
          <w:szCs w:val="24"/>
        </w:rPr>
      </w:pPr>
      <w:r>
        <w:rPr>
          <w:sz w:val="24"/>
          <w:szCs w:val="24"/>
        </w:rPr>
        <w:t>X71 - Current Asset Turnover Rate: Current Assets to Sales</w:t>
      </w:r>
    </w:p>
    <w:p w:rsidR="00700AB3" w:rsidRDefault="003E7881">
      <w:pPr>
        <w:shd w:val="clear" w:color="auto" w:fill="FFFFFF"/>
        <w:spacing w:before="160" w:after="160" w:line="240" w:lineRule="auto"/>
        <w:rPr>
          <w:sz w:val="24"/>
          <w:szCs w:val="24"/>
        </w:rPr>
      </w:pPr>
      <w:r>
        <w:rPr>
          <w:sz w:val="24"/>
          <w:szCs w:val="24"/>
        </w:rPr>
        <w:t>X72 - Quick Asset Turnover Rate: Quick Assets to Sales</w:t>
      </w:r>
    </w:p>
    <w:p w:rsidR="00700AB3" w:rsidRDefault="003E7881">
      <w:pPr>
        <w:shd w:val="clear" w:color="auto" w:fill="FFFFFF"/>
        <w:spacing w:before="160" w:after="160" w:line="240" w:lineRule="auto"/>
        <w:rPr>
          <w:sz w:val="24"/>
          <w:szCs w:val="24"/>
        </w:rPr>
      </w:pPr>
      <w:r>
        <w:rPr>
          <w:sz w:val="24"/>
          <w:szCs w:val="24"/>
        </w:rPr>
        <w:t xml:space="preserve">X73 - Working </w:t>
      </w:r>
      <w:proofErr w:type="spellStart"/>
      <w:r>
        <w:rPr>
          <w:sz w:val="24"/>
          <w:szCs w:val="24"/>
        </w:rPr>
        <w:t>capitcal</w:t>
      </w:r>
      <w:proofErr w:type="spellEnd"/>
      <w:r>
        <w:rPr>
          <w:sz w:val="24"/>
          <w:szCs w:val="24"/>
        </w:rPr>
        <w:t xml:space="preserve"> Turnover Rate: Working Capital to Sales</w:t>
      </w:r>
    </w:p>
    <w:p w:rsidR="00700AB3" w:rsidRDefault="003E7881">
      <w:pPr>
        <w:shd w:val="clear" w:color="auto" w:fill="FFFFFF"/>
        <w:spacing w:before="160" w:after="160" w:line="240" w:lineRule="auto"/>
        <w:rPr>
          <w:sz w:val="24"/>
          <w:szCs w:val="24"/>
        </w:rPr>
      </w:pPr>
      <w:r>
        <w:rPr>
          <w:sz w:val="24"/>
          <w:szCs w:val="24"/>
        </w:rPr>
        <w:t>X74 - Cash Turnover Rate: Cash to Sales</w:t>
      </w:r>
    </w:p>
    <w:p w:rsidR="00700AB3" w:rsidRDefault="003E7881">
      <w:pPr>
        <w:shd w:val="clear" w:color="auto" w:fill="FFFFFF"/>
        <w:spacing w:before="160" w:after="160" w:line="240" w:lineRule="auto"/>
        <w:rPr>
          <w:sz w:val="24"/>
          <w:szCs w:val="24"/>
        </w:rPr>
      </w:pPr>
      <w:r>
        <w:rPr>
          <w:sz w:val="24"/>
          <w:szCs w:val="24"/>
        </w:rPr>
        <w:t>X75 - Cash Flow to Sales</w:t>
      </w:r>
    </w:p>
    <w:p w:rsidR="00700AB3" w:rsidRDefault="003E7881">
      <w:pPr>
        <w:shd w:val="clear" w:color="auto" w:fill="FFFFFF"/>
        <w:spacing w:before="160" w:after="160" w:line="240" w:lineRule="auto"/>
        <w:rPr>
          <w:sz w:val="24"/>
          <w:szCs w:val="24"/>
        </w:rPr>
      </w:pPr>
      <w:r>
        <w:rPr>
          <w:sz w:val="24"/>
          <w:szCs w:val="24"/>
        </w:rPr>
        <w:t>X76 - Fixed Assets to Assets</w:t>
      </w:r>
    </w:p>
    <w:p w:rsidR="00700AB3" w:rsidRDefault="003E7881">
      <w:pPr>
        <w:shd w:val="clear" w:color="auto" w:fill="FFFFFF"/>
        <w:spacing w:before="160" w:after="160" w:line="240" w:lineRule="auto"/>
        <w:rPr>
          <w:sz w:val="24"/>
          <w:szCs w:val="24"/>
        </w:rPr>
      </w:pPr>
      <w:r>
        <w:rPr>
          <w:sz w:val="24"/>
          <w:szCs w:val="24"/>
        </w:rPr>
        <w:t>X77 - Current Liability to Liability</w:t>
      </w:r>
    </w:p>
    <w:p w:rsidR="00700AB3" w:rsidRDefault="003E7881">
      <w:pPr>
        <w:shd w:val="clear" w:color="auto" w:fill="FFFFFF"/>
        <w:spacing w:before="160" w:after="160" w:line="240" w:lineRule="auto"/>
        <w:rPr>
          <w:sz w:val="24"/>
          <w:szCs w:val="24"/>
        </w:rPr>
      </w:pPr>
      <w:r>
        <w:rPr>
          <w:sz w:val="24"/>
          <w:szCs w:val="24"/>
        </w:rPr>
        <w:t>X78 - C</w:t>
      </w:r>
      <w:r>
        <w:rPr>
          <w:sz w:val="24"/>
          <w:szCs w:val="24"/>
        </w:rPr>
        <w:t>urrent Liability to Equity</w:t>
      </w:r>
    </w:p>
    <w:p w:rsidR="00700AB3" w:rsidRDefault="003E7881">
      <w:pPr>
        <w:shd w:val="clear" w:color="auto" w:fill="FFFFFF"/>
        <w:spacing w:before="160" w:after="160" w:line="240" w:lineRule="auto"/>
        <w:rPr>
          <w:sz w:val="24"/>
          <w:szCs w:val="24"/>
        </w:rPr>
      </w:pPr>
      <w:r>
        <w:rPr>
          <w:sz w:val="24"/>
          <w:szCs w:val="24"/>
        </w:rPr>
        <w:t>X79 - Equity to Long-term Liability</w:t>
      </w:r>
    </w:p>
    <w:p w:rsidR="00700AB3" w:rsidRDefault="003E7881">
      <w:pPr>
        <w:shd w:val="clear" w:color="auto" w:fill="FFFFFF"/>
        <w:spacing w:before="160" w:after="160" w:line="240" w:lineRule="auto"/>
        <w:rPr>
          <w:sz w:val="24"/>
          <w:szCs w:val="24"/>
        </w:rPr>
      </w:pPr>
      <w:r>
        <w:rPr>
          <w:sz w:val="24"/>
          <w:szCs w:val="24"/>
        </w:rPr>
        <w:t>X80 - Cash Flow to Total Assets</w:t>
      </w:r>
    </w:p>
    <w:p w:rsidR="00700AB3" w:rsidRDefault="003E7881">
      <w:pPr>
        <w:shd w:val="clear" w:color="auto" w:fill="FFFFFF"/>
        <w:spacing w:before="160" w:after="160" w:line="240" w:lineRule="auto"/>
        <w:rPr>
          <w:sz w:val="24"/>
          <w:szCs w:val="24"/>
        </w:rPr>
      </w:pPr>
      <w:r>
        <w:rPr>
          <w:sz w:val="24"/>
          <w:szCs w:val="24"/>
        </w:rPr>
        <w:t>X81 - Cash Flow to Liability</w:t>
      </w:r>
    </w:p>
    <w:p w:rsidR="00700AB3" w:rsidRDefault="003E7881">
      <w:pPr>
        <w:shd w:val="clear" w:color="auto" w:fill="FFFFFF"/>
        <w:spacing w:before="160" w:after="160" w:line="240" w:lineRule="auto"/>
        <w:rPr>
          <w:sz w:val="24"/>
          <w:szCs w:val="24"/>
        </w:rPr>
      </w:pPr>
      <w:r>
        <w:rPr>
          <w:sz w:val="24"/>
          <w:szCs w:val="24"/>
        </w:rPr>
        <w:t>X82 - CFO to Assets</w:t>
      </w:r>
    </w:p>
    <w:p w:rsidR="00700AB3" w:rsidRDefault="003E7881">
      <w:pPr>
        <w:shd w:val="clear" w:color="auto" w:fill="FFFFFF"/>
        <w:spacing w:before="160" w:after="160" w:line="240" w:lineRule="auto"/>
        <w:rPr>
          <w:sz w:val="24"/>
          <w:szCs w:val="24"/>
        </w:rPr>
      </w:pPr>
      <w:r>
        <w:rPr>
          <w:sz w:val="24"/>
          <w:szCs w:val="24"/>
        </w:rPr>
        <w:t>X83 - Cash Flow to Equity</w:t>
      </w:r>
    </w:p>
    <w:p w:rsidR="00700AB3" w:rsidRDefault="003E7881">
      <w:pPr>
        <w:shd w:val="clear" w:color="auto" w:fill="FFFFFF"/>
        <w:spacing w:before="160" w:after="160" w:line="240" w:lineRule="auto"/>
        <w:rPr>
          <w:sz w:val="24"/>
          <w:szCs w:val="24"/>
        </w:rPr>
      </w:pPr>
      <w:r>
        <w:rPr>
          <w:sz w:val="24"/>
          <w:szCs w:val="24"/>
        </w:rPr>
        <w:lastRenderedPageBreak/>
        <w:t>X84 - Current Liability to Current Assets</w:t>
      </w:r>
    </w:p>
    <w:p w:rsidR="00700AB3" w:rsidRDefault="003E7881">
      <w:pPr>
        <w:shd w:val="clear" w:color="auto" w:fill="FFFFFF"/>
        <w:spacing w:before="160" w:after="160" w:line="240" w:lineRule="auto"/>
        <w:rPr>
          <w:sz w:val="24"/>
          <w:szCs w:val="24"/>
        </w:rPr>
      </w:pPr>
      <w:r>
        <w:rPr>
          <w:sz w:val="24"/>
          <w:szCs w:val="24"/>
        </w:rPr>
        <w:t>X85 - Liability-Assets Flag: 1 if Total Liability exceeds Total Assets, 0 otherwise</w:t>
      </w:r>
    </w:p>
    <w:p w:rsidR="00700AB3" w:rsidRDefault="003E7881">
      <w:pPr>
        <w:shd w:val="clear" w:color="auto" w:fill="FFFFFF"/>
        <w:spacing w:before="160" w:after="160" w:line="240" w:lineRule="auto"/>
        <w:rPr>
          <w:sz w:val="24"/>
          <w:szCs w:val="24"/>
        </w:rPr>
      </w:pPr>
      <w:r>
        <w:rPr>
          <w:sz w:val="24"/>
          <w:szCs w:val="24"/>
        </w:rPr>
        <w:t>X86 - Net Income to Total Assets</w:t>
      </w:r>
    </w:p>
    <w:p w:rsidR="00700AB3" w:rsidRDefault="003E7881">
      <w:pPr>
        <w:shd w:val="clear" w:color="auto" w:fill="FFFFFF"/>
        <w:spacing w:before="160" w:after="160" w:line="240" w:lineRule="auto"/>
        <w:rPr>
          <w:sz w:val="24"/>
          <w:szCs w:val="24"/>
        </w:rPr>
      </w:pPr>
      <w:r>
        <w:rPr>
          <w:sz w:val="24"/>
          <w:szCs w:val="24"/>
        </w:rPr>
        <w:t>X87 - Total assets to GNP price</w:t>
      </w:r>
    </w:p>
    <w:p w:rsidR="00700AB3" w:rsidRDefault="003E7881">
      <w:pPr>
        <w:shd w:val="clear" w:color="auto" w:fill="FFFFFF"/>
        <w:spacing w:before="160" w:after="160" w:line="240" w:lineRule="auto"/>
        <w:rPr>
          <w:sz w:val="24"/>
          <w:szCs w:val="24"/>
        </w:rPr>
      </w:pPr>
      <w:r>
        <w:rPr>
          <w:sz w:val="24"/>
          <w:szCs w:val="24"/>
        </w:rPr>
        <w:t>X88 - No-credit Interval</w:t>
      </w:r>
    </w:p>
    <w:p w:rsidR="00700AB3" w:rsidRDefault="003E7881">
      <w:pPr>
        <w:shd w:val="clear" w:color="auto" w:fill="FFFFFF"/>
        <w:spacing w:before="160" w:after="160" w:line="240" w:lineRule="auto"/>
        <w:rPr>
          <w:sz w:val="24"/>
          <w:szCs w:val="24"/>
        </w:rPr>
      </w:pPr>
      <w:r>
        <w:rPr>
          <w:sz w:val="24"/>
          <w:szCs w:val="24"/>
        </w:rPr>
        <w:t>X89 - Gross Profit to Sales</w:t>
      </w:r>
    </w:p>
    <w:p w:rsidR="00700AB3" w:rsidRDefault="003E7881">
      <w:pPr>
        <w:shd w:val="clear" w:color="auto" w:fill="FFFFFF"/>
        <w:spacing w:before="160" w:after="160" w:line="240" w:lineRule="auto"/>
        <w:rPr>
          <w:sz w:val="24"/>
          <w:szCs w:val="24"/>
        </w:rPr>
      </w:pPr>
      <w:r>
        <w:rPr>
          <w:sz w:val="24"/>
          <w:szCs w:val="24"/>
        </w:rPr>
        <w:t>X90 - Net Income to Stockholder's Equity</w:t>
      </w:r>
    </w:p>
    <w:p w:rsidR="00700AB3" w:rsidRDefault="003E7881">
      <w:pPr>
        <w:shd w:val="clear" w:color="auto" w:fill="FFFFFF"/>
        <w:spacing w:before="160" w:after="160" w:line="240" w:lineRule="auto"/>
        <w:rPr>
          <w:sz w:val="24"/>
          <w:szCs w:val="24"/>
        </w:rPr>
      </w:pPr>
      <w:r>
        <w:rPr>
          <w:sz w:val="24"/>
          <w:szCs w:val="24"/>
        </w:rPr>
        <w:t>X91 - Liabili</w:t>
      </w:r>
      <w:r>
        <w:rPr>
          <w:sz w:val="24"/>
          <w:szCs w:val="24"/>
        </w:rPr>
        <w:t>ty to Equity</w:t>
      </w:r>
    </w:p>
    <w:p w:rsidR="00700AB3" w:rsidRDefault="003E7881">
      <w:pPr>
        <w:shd w:val="clear" w:color="auto" w:fill="FFFFFF"/>
        <w:spacing w:before="160" w:after="160" w:line="240" w:lineRule="auto"/>
        <w:rPr>
          <w:sz w:val="24"/>
          <w:szCs w:val="24"/>
        </w:rPr>
      </w:pPr>
      <w:r>
        <w:rPr>
          <w:sz w:val="24"/>
          <w:szCs w:val="24"/>
        </w:rPr>
        <w:t>X92 - Degree of Financial Leverage (DFL)</w:t>
      </w:r>
    </w:p>
    <w:p w:rsidR="00700AB3" w:rsidRDefault="003E7881">
      <w:pPr>
        <w:shd w:val="clear" w:color="auto" w:fill="FFFFFF"/>
        <w:spacing w:before="160" w:after="160" w:line="240" w:lineRule="auto"/>
        <w:rPr>
          <w:sz w:val="24"/>
          <w:szCs w:val="24"/>
        </w:rPr>
      </w:pPr>
      <w:r>
        <w:rPr>
          <w:sz w:val="24"/>
          <w:szCs w:val="24"/>
        </w:rPr>
        <w:t>X93 - Interest Coverage Ratio (Interest expense to EBIT)</w:t>
      </w:r>
    </w:p>
    <w:p w:rsidR="00700AB3" w:rsidRDefault="003E7881">
      <w:pPr>
        <w:shd w:val="clear" w:color="auto" w:fill="FFFFFF"/>
        <w:spacing w:before="160" w:after="160" w:line="240" w:lineRule="auto"/>
        <w:rPr>
          <w:sz w:val="24"/>
          <w:szCs w:val="24"/>
        </w:rPr>
      </w:pPr>
      <w:r>
        <w:rPr>
          <w:sz w:val="24"/>
          <w:szCs w:val="24"/>
        </w:rPr>
        <w:t>X94 - Net Income Flag: 1 if Net Income is Negative for the last two years, 0 otherwise</w:t>
      </w:r>
    </w:p>
    <w:p w:rsidR="00700AB3" w:rsidRDefault="003E7881">
      <w:pPr>
        <w:shd w:val="clear" w:color="auto" w:fill="FFFFFF"/>
        <w:spacing w:before="160" w:after="160" w:line="240" w:lineRule="auto"/>
        <w:rPr>
          <w:sz w:val="24"/>
          <w:szCs w:val="24"/>
        </w:rPr>
      </w:pPr>
      <w:r>
        <w:rPr>
          <w:sz w:val="24"/>
          <w:szCs w:val="24"/>
        </w:rPr>
        <w:t>X95 - Equity to Liability</w:t>
      </w:r>
    </w:p>
    <w:p w:rsidR="00700AB3" w:rsidRDefault="00700AB3">
      <w:pPr>
        <w:spacing w:after="200" w:line="240" w:lineRule="auto"/>
        <w:ind w:left="720"/>
        <w:rPr>
          <w:rFonts w:ascii="Times New Roman" w:eastAsia="Times New Roman" w:hAnsi="Times New Roman" w:cs="Times New Roman"/>
          <w:sz w:val="24"/>
          <w:szCs w:val="24"/>
        </w:rPr>
      </w:pPr>
    </w:p>
    <w:p w:rsidR="00700AB3" w:rsidRDefault="00700AB3">
      <w:pPr>
        <w:spacing w:after="200" w:line="240" w:lineRule="auto"/>
        <w:ind w:left="720"/>
        <w:rPr>
          <w:rFonts w:ascii="Times New Roman" w:eastAsia="Times New Roman" w:hAnsi="Times New Roman" w:cs="Times New Roman"/>
          <w:sz w:val="24"/>
          <w:szCs w:val="24"/>
        </w:rPr>
      </w:pPr>
    </w:p>
    <w:p w:rsidR="00700AB3" w:rsidRDefault="003E7881">
      <w:r>
        <w:t>Add Literature Review</w:t>
      </w:r>
    </w:p>
    <w:p w:rsidR="00700AB3" w:rsidRDefault="00700AB3"/>
    <w:p w:rsidR="00700AB3" w:rsidRDefault="003E7881">
      <w:hyperlink r:id="rId14" w:anchor="Sec5">
        <w:r>
          <w:rPr>
            <w:color w:val="1155CC"/>
            <w:u w:val="single"/>
          </w:rPr>
          <w:t>https://link.springer.com/article/10.1007/s11142-017-9407-1#Sec5</w:t>
        </w:r>
      </w:hyperlink>
      <w:r>
        <w:t xml:space="preserve"> - another literature review.</w:t>
      </w:r>
    </w:p>
    <w:p w:rsidR="00700AB3" w:rsidRDefault="00700AB3"/>
    <w:p w:rsidR="00700AB3" w:rsidRDefault="003E7881">
      <w:r>
        <w:t xml:space="preserve">Add confusion matrix and accuracy chart of all the 4 methods. Compare the </w:t>
      </w:r>
      <w:r>
        <w:t>numbers.</w:t>
      </w:r>
    </w:p>
    <w:p w:rsidR="00700AB3" w:rsidRDefault="00700AB3"/>
    <w:sectPr w:rsidR="00700AB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881" w:rsidRDefault="003E7881">
      <w:pPr>
        <w:spacing w:line="240" w:lineRule="auto"/>
      </w:pPr>
      <w:r>
        <w:separator/>
      </w:r>
    </w:p>
  </w:endnote>
  <w:endnote w:type="continuationSeparator" w:id="0">
    <w:p w:rsidR="003E7881" w:rsidRDefault="003E7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881" w:rsidRDefault="003E7881">
      <w:pPr>
        <w:spacing w:line="240" w:lineRule="auto"/>
      </w:pPr>
      <w:r>
        <w:separator/>
      </w:r>
    </w:p>
  </w:footnote>
  <w:footnote w:type="continuationSeparator" w:id="0">
    <w:p w:rsidR="003E7881" w:rsidRDefault="003E78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AB3" w:rsidRDefault="003E7881">
    <w:pPr>
      <w:jc w:val="center"/>
    </w:pPr>
    <w:r>
      <w:t>Tony Mei Data 698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261D4"/>
    <w:multiLevelType w:val="multilevel"/>
    <w:tmpl w:val="BA0CCF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43A1497C"/>
    <w:multiLevelType w:val="multilevel"/>
    <w:tmpl w:val="AA6099C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78968EA"/>
    <w:multiLevelType w:val="multilevel"/>
    <w:tmpl w:val="4990AE92"/>
    <w:lvl w:ilvl="0">
      <w:start w:val="1"/>
      <w:numFmt w:val="lowerLetter"/>
      <w:lvlText w:val="%1)"/>
      <w:lvlJc w:val="left"/>
      <w:pPr>
        <w:ind w:left="2160" w:hanging="360"/>
      </w:pPr>
      <w:rPr>
        <w:rFonts w:ascii="Arial" w:eastAsia="Arial" w:hAnsi="Arial" w:cs="Arial"/>
        <w:b/>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0AB3"/>
    <w:rsid w:val="003E7881"/>
    <w:rsid w:val="00700AB3"/>
    <w:rsid w:val="008A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12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212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5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12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212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5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fedesoriano/company-bankruptcy-predic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izzlo/Data-698/blob/main/Data698BankruptcyPredictor.ipy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link.springer.com/article/10.1007/s11142-017-94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D0unQAnw5tVj8YkHDS0DWKJeQ==">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3030</Words>
  <Characters>17276</Characters>
  <Application>Microsoft Office Word</Application>
  <DocSecurity>0</DocSecurity>
  <Lines>143</Lines>
  <Paragraphs>40</Paragraphs>
  <ScaleCrop>false</ScaleCrop>
  <Company/>
  <LinksUpToDate>false</LinksUpToDate>
  <CharactersWithSpaces>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Tony</dc:creator>
  <cp:lastModifiedBy>tony mei</cp:lastModifiedBy>
  <cp:revision>2</cp:revision>
  <dcterms:created xsi:type="dcterms:W3CDTF">2021-05-20T20:25:00Z</dcterms:created>
  <dcterms:modified xsi:type="dcterms:W3CDTF">2021-05-23T19:10:00Z</dcterms:modified>
</cp:coreProperties>
</file>