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ФГБОУ ВО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DC2C5" wp14:editId="7AA5C41F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DC2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1E12F" wp14:editId="7A088EBA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E12F"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900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38503A">
        <w:rPr>
          <w:rFonts w:ascii="Times New Roman" w:hAnsi="Times New Roman"/>
          <w:sz w:val="28"/>
          <w:szCs w:val="28"/>
          <w:highlight w:val="yellow"/>
        </w:rPr>
        <w:t>программы: "</w:t>
      </w:r>
      <w:proofErr w:type="spellStart"/>
      <w:r w:rsidR="00F229EF">
        <w:rPr>
          <w:rFonts w:ascii="Times New Roman" w:hAnsi="Times New Roman"/>
          <w:sz w:val="28"/>
          <w:szCs w:val="28"/>
          <w:highlight w:val="yellow"/>
          <w:lang w:val="en-US"/>
        </w:rPr>
        <w:t>MedSpace</w:t>
      </w:r>
      <w:proofErr w:type="spellEnd"/>
      <w:r w:rsidR="00F16E83" w:rsidRPr="0038503A">
        <w:rPr>
          <w:rFonts w:ascii="Times New Roman" w:hAnsi="Times New Roman"/>
          <w:sz w:val="28"/>
          <w:szCs w:val="28"/>
          <w:highlight w:val="yellow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A2460B" w:rsidRPr="00A2460B" w:rsidRDefault="00394A91" w:rsidP="00A2460B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  <w:r w:rsidR="00BA4C8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2460B" w:rsidRDefault="00A2460B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данные.</w:t>
      </w:r>
    </w:p>
    <w:p w:rsidR="00A2460B" w:rsidRDefault="00A2460B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медицинской карты</w:t>
      </w:r>
      <w:r w:rsidR="002E337F">
        <w:rPr>
          <w:rFonts w:ascii="Times New Roman" w:hAnsi="Times New Roman"/>
          <w:sz w:val="28"/>
          <w:szCs w:val="28"/>
        </w:rPr>
        <w:t>.</w:t>
      </w:r>
    </w:p>
    <w:p w:rsidR="00A2460B" w:rsidRDefault="00980A7D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проживания</w:t>
      </w:r>
      <w:r w:rsidR="002E337F">
        <w:rPr>
          <w:rFonts w:ascii="Times New Roman" w:hAnsi="Times New Roman"/>
          <w:sz w:val="28"/>
          <w:szCs w:val="28"/>
        </w:rPr>
        <w:t>.</w:t>
      </w:r>
    </w:p>
    <w:p w:rsidR="00980A7D" w:rsidRDefault="002E337F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лечения и диагноз.</w:t>
      </w:r>
    </w:p>
    <w:p w:rsidR="002E337F" w:rsidRPr="00A2460B" w:rsidRDefault="002E337F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Телефонный номер.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врачах.</w:t>
      </w:r>
    </w:p>
    <w:p w:rsidR="002E337F" w:rsidRDefault="002E337F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данные.</w:t>
      </w:r>
    </w:p>
    <w:p w:rsidR="002E337F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Специальность.</w:t>
      </w:r>
    </w:p>
    <w:p w:rsidR="00F23DBD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Стаж работы.</w:t>
      </w:r>
    </w:p>
    <w:p w:rsidR="00F23DBD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Категория.</w:t>
      </w:r>
    </w:p>
    <w:p w:rsidR="00F23DBD" w:rsidRDefault="00F23DBD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Образование.</w:t>
      </w:r>
    </w:p>
    <w:p w:rsidR="00F23DBD" w:rsidRPr="00F23DBD" w:rsidRDefault="00F23DBD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Биография.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</w:t>
      </w:r>
      <w:r w:rsidR="00F23DBD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услугах.</w:t>
      </w:r>
    </w:p>
    <w:p w:rsidR="00F23DBD" w:rsidRDefault="00FC4BBC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услуги.</w:t>
      </w:r>
    </w:p>
    <w:p w:rsidR="00FC4BBC" w:rsidRDefault="00FC4BBC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Стоимость.</w:t>
      </w:r>
    </w:p>
    <w:p w:rsidR="00FC4BBC" w:rsidRPr="00FC4BBC" w:rsidRDefault="00394A91" w:rsidP="00FC4BBC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О посещениях.</w:t>
      </w:r>
    </w:p>
    <w:p w:rsidR="007679B1" w:rsidRPr="007679B1" w:rsidRDefault="00900E61" w:rsidP="007679B1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</w:t>
      </w:r>
      <w:r w:rsidR="00394A91">
        <w:rPr>
          <w:rFonts w:ascii="Times New Roman" w:hAnsi="Times New Roman"/>
          <w:sz w:val="28"/>
          <w:szCs w:val="28"/>
        </w:rPr>
        <w:t xml:space="preserve"> данных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услугах.</w:t>
      </w:r>
    </w:p>
    <w:p w:rsidR="007679B1" w:rsidRP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посещениях.</w:t>
      </w:r>
    </w:p>
    <w:p w:rsidR="00476D10" w:rsidRDefault="00900E61" w:rsidP="00476D1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476D10" w:rsidRDefault="00476D10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0313E">
        <w:rPr>
          <w:rFonts w:ascii="Times New Roman" w:hAnsi="Times New Roman"/>
          <w:sz w:val="28"/>
          <w:szCs w:val="28"/>
        </w:rPr>
        <w:t>Составление графика работы врача.</w:t>
      </w:r>
    </w:p>
    <w:p w:rsidR="0070313E" w:rsidRDefault="0070313E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Ведение истории предоставленных услуг.</w:t>
      </w:r>
    </w:p>
    <w:p w:rsidR="002D3EC3" w:rsidRDefault="002D3EC3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Ведение истории осмотров.</w:t>
      </w:r>
    </w:p>
    <w:p w:rsidR="003458A5" w:rsidRDefault="00214F7E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отчетности.</w:t>
      </w:r>
    </w:p>
    <w:p w:rsidR="00B31D58" w:rsidRPr="00214F7E" w:rsidRDefault="00B31D58" w:rsidP="00B31D58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036BF">
        <w:rPr>
          <w:rFonts w:ascii="Times New Roman" w:hAnsi="Times New Roman"/>
          <w:sz w:val="28"/>
          <w:szCs w:val="28"/>
        </w:rPr>
        <w:t xml:space="preserve">Месячный расход ресурсов 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3E30E4" w:rsidRPr="003E30E4" w:rsidRDefault="003458A5" w:rsidP="003E30E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3E30E4" w:rsidRPr="003E30E4" w:rsidRDefault="003458A5" w:rsidP="003E30E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6" w:name="_Toc451550936"/>
      <w:r w:rsidRPr="003062A3">
        <w:t>Требования к обеспечению надежного функционирования программы</w:t>
      </w:r>
      <w:bookmarkEnd w:id="6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7" w:name="_Toc451550937"/>
      <w:r w:rsidRPr="003062A3">
        <w:t>Вр</w:t>
      </w:r>
      <w:r w:rsidR="00F16E83" w:rsidRPr="003062A3">
        <w:t>емя восстановления после отказа</w:t>
      </w:r>
      <w:bookmarkEnd w:id="7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8" w:name="_Toc451550938"/>
      <w:r w:rsidRPr="003062A3">
        <w:lastRenderedPageBreak/>
        <w:t>Отказы из-за некорректных</w:t>
      </w:r>
      <w:r w:rsidR="00F16E83" w:rsidRPr="003062A3">
        <w:t xml:space="preserve"> действий пользователей системы</w:t>
      </w:r>
      <w:bookmarkEnd w:id="8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9" w:name="_Toc451550939"/>
      <w:r w:rsidRPr="003062A3">
        <w:t>Условия эксплуатации</w:t>
      </w:r>
      <w:bookmarkEnd w:id="9"/>
    </w:p>
    <w:p w:rsidR="00895484" w:rsidRPr="003062A3" w:rsidRDefault="00895484" w:rsidP="00002D3E">
      <w:pPr>
        <w:pStyle w:val="2"/>
      </w:pPr>
      <w:bookmarkStart w:id="10" w:name="_Toc451550940"/>
      <w:r w:rsidRPr="003062A3">
        <w:t>Кли</w:t>
      </w:r>
      <w:r w:rsidR="00F16E83" w:rsidRPr="003062A3">
        <w:t>матические условия эксплуатации</w:t>
      </w:r>
      <w:bookmarkEnd w:id="10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</w:p>
    <w:p w:rsidR="00895484" w:rsidRPr="003062A3" w:rsidRDefault="00895484" w:rsidP="00002D3E">
      <w:pPr>
        <w:pStyle w:val="2"/>
      </w:pPr>
      <w:bookmarkStart w:id="11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2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2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3" w:name="_Toc451550943"/>
      <w:r w:rsidRPr="003062A3">
        <w:t>Требования к информацион</w:t>
      </w:r>
      <w:r w:rsidR="00F16E83" w:rsidRPr="003062A3">
        <w:t>ной и программной совместимости</w:t>
      </w:r>
      <w:bookmarkEnd w:id="13"/>
    </w:p>
    <w:p w:rsidR="00895484" w:rsidRPr="003062A3" w:rsidRDefault="00895484" w:rsidP="00002D3E">
      <w:pPr>
        <w:pStyle w:val="3"/>
      </w:pPr>
      <w:bookmarkStart w:id="14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4"/>
    </w:p>
    <w:p w:rsidR="001A6E89" w:rsidRDefault="008916CA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 3-х модулей: чтения файлов, обработки данных и выявления в них ошибок, записи обработанных данных в файл.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табличными текстовыми файлами.</w:t>
      </w:r>
      <w:r w:rsidR="00B76501">
        <w:rPr>
          <w:rFonts w:ascii="Times New Roman" w:hAnsi="Times New Roman"/>
          <w:sz w:val="28"/>
          <w:szCs w:val="28"/>
        </w:rPr>
        <w:t xml:space="preserve"> Если записи во входны</w:t>
      </w:r>
      <w:r w:rsidR="008916CA">
        <w:rPr>
          <w:rFonts w:ascii="Times New Roman" w:hAnsi="Times New Roman"/>
          <w:sz w:val="28"/>
          <w:szCs w:val="28"/>
        </w:rPr>
        <w:t>х файлах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далее,</w:t>
      </w:r>
      <w:r w:rsidR="00B76501">
        <w:rPr>
          <w:rFonts w:ascii="Times New Roman" w:hAnsi="Times New Roman"/>
          <w:sz w:val="28"/>
          <w:szCs w:val="28"/>
        </w:rPr>
        <w:t xml:space="preserve"> то игнорировать их.</w:t>
      </w:r>
    </w:p>
    <w:p w:rsidR="008E4BF4" w:rsidRDefault="009B7B1E" w:rsidP="001A5466">
      <w:pPr>
        <w:pStyle w:val="4"/>
      </w:pPr>
      <w:r>
        <w:lastRenderedPageBreak/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394A91" w:rsidRDefault="00394A91" w:rsidP="00C62B12">
      <w:pPr>
        <w:spacing w:before="240"/>
        <w:ind w:firstLine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880CA" wp14:editId="1F518BBE">
            <wp:extent cx="5985466" cy="521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609" cy="52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4" w:rsidRPr="003062A3" w:rsidRDefault="00394A91" w:rsidP="001A5466">
      <w:pPr>
        <w:pStyle w:val="4"/>
      </w:pPr>
      <w:r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D821EC" w:rsidRPr="00503AB4" w:rsidRDefault="00D821EC" w:rsidP="00E44A35">
      <w:pPr>
        <w:pStyle w:val="a3"/>
        <w:ind w:left="709"/>
        <w:rPr>
          <w:rFonts w:ascii="Times New Roman" w:hAnsi="Times New Roman"/>
          <w:sz w:val="28"/>
          <w:szCs w:val="28"/>
          <w:highlight w:val="yellow"/>
        </w:rPr>
      </w:pPr>
    </w:p>
    <w:p w:rsidR="00895484" w:rsidRPr="003062A3" w:rsidRDefault="00895484" w:rsidP="001A5466">
      <w:pPr>
        <w:pStyle w:val="3"/>
      </w:pPr>
      <w:bookmarkStart w:id="15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5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6" w:name="_Toc451550946"/>
      <w:r w:rsidRPr="003062A3">
        <w:lastRenderedPageBreak/>
        <w:t>Требования к программным средствам, используемым программой</w:t>
      </w:r>
      <w:bookmarkEnd w:id="16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7" w:name="_Toc451550947"/>
      <w:r w:rsidRPr="003062A3">
        <w:t>Требования к защите информации и программ</w:t>
      </w:r>
      <w:bookmarkEnd w:id="17"/>
    </w:p>
    <w:p w:rsidR="00895484" w:rsidRPr="003062A3" w:rsidRDefault="007A1E19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95484" w:rsidRPr="003062A3" w:rsidRDefault="00F16E83" w:rsidP="001A5466">
      <w:pPr>
        <w:pStyle w:val="2"/>
      </w:pPr>
      <w:bookmarkStart w:id="18" w:name="_Toc451550948"/>
      <w:r w:rsidRPr="003062A3">
        <w:t>Специальные требования</w:t>
      </w:r>
      <w:bookmarkEnd w:id="18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Дополнительн</w:t>
      </w:r>
      <w:r w:rsidR="00F16E83" w:rsidRPr="003062A3">
        <w:rPr>
          <w:rFonts w:ascii="Times New Roman" w:hAnsi="Times New Roman"/>
          <w:sz w:val="28"/>
          <w:szCs w:val="28"/>
        </w:rPr>
        <w:t>ые требования не предъявляются.</w:t>
      </w:r>
    </w:p>
    <w:p w:rsidR="00895484" w:rsidRPr="003062A3" w:rsidRDefault="00895484" w:rsidP="001A5466">
      <w:pPr>
        <w:pStyle w:val="10"/>
      </w:pPr>
      <w:bookmarkStart w:id="19" w:name="_Toc451550949"/>
      <w:r w:rsidRPr="003062A3">
        <w:t>Требов</w:t>
      </w:r>
      <w:r w:rsidR="00F16E83" w:rsidRPr="003062A3">
        <w:t>ания к программной документации</w:t>
      </w:r>
      <w:bookmarkEnd w:id="19"/>
    </w:p>
    <w:p w:rsidR="00895484" w:rsidRPr="003062A3" w:rsidRDefault="00895484" w:rsidP="001A5466">
      <w:pPr>
        <w:pStyle w:val="2"/>
      </w:pPr>
      <w:bookmarkStart w:id="20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0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1" w:name="_Toc451550951"/>
      <w:r w:rsidRPr="003062A3">
        <w:t>Стадии и этапы разработки</w:t>
      </w:r>
      <w:bookmarkEnd w:id="21"/>
    </w:p>
    <w:p w:rsidR="00895484" w:rsidRPr="003062A3" w:rsidRDefault="00F16E83" w:rsidP="001A5466">
      <w:pPr>
        <w:pStyle w:val="2"/>
      </w:pPr>
      <w:bookmarkStart w:id="22" w:name="_Toc451550952"/>
      <w:r w:rsidRPr="003062A3">
        <w:t>Стадии разработки</w:t>
      </w:r>
      <w:bookmarkEnd w:id="22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900672" w:rsidRPr="00900672" w:rsidRDefault="00895484" w:rsidP="00900672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  <w:bookmarkStart w:id="23" w:name="_GoBack"/>
      <w:bookmarkEnd w:id="23"/>
    </w:p>
    <w:p w:rsidR="00900672" w:rsidRDefault="00900672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95484" w:rsidRPr="001A5466" w:rsidRDefault="00F16E83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внедрение.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3"/>
      <w:r w:rsidRPr="003062A3">
        <w:t>Этапы разработки</w:t>
      </w:r>
      <w:bookmarkEnd w:id="24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разработка программы</w:t>
      </w:r>
      <w:r w:rsidR="0090067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00672">
        <w:rPr>
          <w:rFonts w:ascii="Times New Roman" w:hAnsi="Times New Roman"/>
          <w:sz w:val="28"/>
          <w:szCs w:val="28"/>
        </w:rPr>
        <w:t>и интерфейса</w:t>
      </w:r>
      <w:r w:rsidRPr="001A5466">
        <w:rPr>
          <w:rFonts w:ascii="Times New Roman" w:hAnsi="Times New Roman"/>
          <w:sz w:val="28"/>
          <w:szCs w:val="28"/>
        </w:rPr>
        <w:t xml:space="preserve">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lastRenderedPageBreak/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5" w:name="_Toc451550954"/>
      <w:r w:rsidRPr="003062A3">
        <w:t>Содержание работ по этапам</w:t>
      </w:r>
      <w:bookmarkEnd w:id="25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Логин - имя (идентификатор) учётной записи пользователя в компьютерной системе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Пароль - условное слово или набор знаков, предназначенный для подтверждения личности или полномочий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Профиль - 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Номер карты </w:t>
      </w:r>
      <w:r w:rsidR="00A47646" w:rsidRPr="00C62B12">
        <w:rPr>
          <w:rFonts w:ascii="Times New Roman" w:hAnsi="Times New Roman"/>
          <w:sz w:val="28"/>
        </w:rPr>
        <w:t>–</w:t>
      </w:r>
      <w:r w:rsidRPr="00C62B12">
        <w:rPr>
          <w:rFonts w:ascii="Times New Roman" w:hAnsi="Times New Roman"/>
          <w:sz w:val="28"/>
        </w:rPr>
        <w:t xml:space="preserve"> уникальный</w:t>
      </w:r>
      <w:r w:rsidR="00A47646" w:rsidRPr="00C62B12">
        <w:rPr>
          <w:rFonts w:ascii="Times New Roman" w:hAnsi="Times New Roman"/>
          <w:sz w:val="28"/>
        </w:rPr>
        <w:t xml:space="preserve"> </w:t>
      </w:r>
      <w:r w:rsidR="00C81ACD" w:rsidRPr="00C62B12">
        <w:rPr>
          <w:rFonts w:ascii="Times New Roman" w:hAnsi="Times New Roman"/>
          <w:sz w:val="28"/>
        </w:rPr>
        <w:t>идентификатор пациента в системе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Паспорт</w:t>
      </w:r>
      <w:r>
        <w:rPr>
          <w:rFonts w:ascii="Times New Roman" w:hAnsi="Times New Roman"/>
          <w:sz w:val="28"/>
        </w:rPr>
        <w:t xml:space="preserve"> – документ, удостоверяющий личность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ОМС</w:t>
      </w:r>
      <w:r>
        <w:rPr>
          <w:rFonts w:ascii="Times New Roman" w:hAnsi="Times New Roman"/>
          <w:sz w:val="28"/>
        </w:rPr>
        <w:t xml:space="preserve"> - </w:t>
      </w:r>
      <w:r w:rsidRPr="00214F7E">
        <w:rPr>
          <w:rFonts w:ascii="Times New Roman" w:hAnsi="Times New Roman"/>
          <w:sz w:val="28"/>
        </w:rPr>
        <w:t>это государственная система социальной защиты интересов граждан в сфере охраны здоровья.</w:t>
      </w:r>
    </w:p>
    <w:p w:rsidR="00214F7E" w:rsidRPr="007679B1" w:rsidRDefault="00214F7E" w:rsidP="00C62B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– место проживания</w:t>
      </w:r>
    </w:p>
    <w:p w:rsidR="00214F7E" w:rsidRPr="00C62B12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Исход лечения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результат после проведенных процедур лечащим врачом</w:t>
      </w:r>
    </w:p>
    <w:p w:rsidR="00C81ACD" w:rsidRPr="00C62B12" w:rsidRDefault="00C81AC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МКБ - Международная классификация болезней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Основной диагноз - тот единственный, который в наибольшей мере определяет собою текущие усилия лечащего врача.</w:t>
      </w:r>
    </w:p>
    <w:p w:rsidR="00C81AC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Анамнез - совокупность сведений, получаемых при медицинском обследовании путём расспроса самого обследуемого и/или знающих его лиц.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morbi</w:t>
      </w:r>
      <w:proofErr w:type="spellEnd"/>
      <w:r w:rsidRPr="00C62B12">
        <w:rPr>
          <w:rFonts w:ascii="Times New Roman" w:hAnsi="Times New Roman"/>
          <w:sz w:val="28"/>
        </w:rPr>
        <w:t xml:space="preserve"> - начало заболевания, динамика симптомов с момента начала заболевания до момента обращения, с какими факторами пациент связывает данное заболевание, какие исследования и какое лечение проводилось и каковы результаты и т. п.</w:t>
      </w:r>
    </w:p>
    <w:p w:rsidR="009D2BEE" w:rsidRPr="00C62B12" w:rsidRDefault="009D2BEE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vitae</w:t>
      </w:r>
      <w:proofErr w:type="spellEnd"/>
      <w:r w:rsidRPr="00C62B12">
        <w:rPr>
          <w:rFonts w:ascii="Times New Roman" w:hAnsi="Times New Roman"/>
          <w:sz w:val="28"/>
        </w:rPr>
        <w:t xml:space="preserve"> - перенесённые ранее заболевания, существующая хроническая патология со стороны различных органов и систем органов, операции, травмы и т. п. Также изучаются условия жизни пациента.</w:t>
      </w:r>
    </w:p>
    <w:p w:rsidR="00EC3672" w:rsidRPr="00C62B12" w:rsidRDefault="009D2BEE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Аускультация - физический метод медицинской диагностики, заключающийся в выслушивании звуков, образующихся в процессе функционирования внутренних органов.</w:t>
      </w:r>
    </w:p>
    <w:p w:rsidR="0087599C" w:rsidRPr="00C62B12" w:rsidRDefault="0087599C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lastRenderedPageBreak/>
        <w:t>Сравнительная перкуссия - применяется для выявления патологических изменений в каком-либо участке легкого.</w:t>
      </w:r>
    </w:p>
    <w:p w:rsidR="00EC3672" w:rsidRP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Дыхательные движения, т. е. попеременное увеличение и уменьшение объема грудной клетки, обусловленное ритмическими сокращениями дыхательных мышц, осуществляют вдох и выдох — поступление и удаление из легких воздуха — вентиляцию легких.</w:t>
      </w:r>
    </w:p>
    <w:p w:rsid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Артериальное давление - давление, которое кровь оказывает на стенки кровеносных сосудов, или, по-другому говоря, превышение давления жидкости в кровеносной системе над атмосферным.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Перистальтика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волнообразное сокращение стенок полых трубчатых органов (пищевода, желудка, кишечника, мочеточников и др.), способствующее продвижению их содержимого к выходным отверстиям.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Ситковского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при повороте больного на левый бок возникает болезненность в правой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Ровзинга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боли в правой подвздошной области при толчкообразных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пальпаторных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движениях в левой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Status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localis</w:t>
      </w:r>
      <w:proofErr w:type="spellEnd"/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р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аздел истории болезни, описываемый при наличии у пациента локализованных наружных образований (таких как: опухоли кожи, воспалительные инфильтраты, раны и язвы, наружные грыжи др.), или при необходимости подробного описания пораженных частей тела (например, нижних конечностей при варикозной болезни, артериальной недостаточности, травмах).</w:t>
      </w:r>
    </w:p>
    <w:p w:rsidR="001F641E" w:rsidRPr="00C62B12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Диагноз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заключение о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:rsidR="00C62B12" w:rsidRDefault="00C62B12" w:rsidP="00EC3672">
      <w:pPr>
        <w:rPr>
          <w:rFonts w:ascii="Times New Roman" w:hAnsi="Times New Roman"/>
          <w:bCs/>
          <w:color w:val="333333"/>
          <w:shd w:val="clear" w:color="auto" w:fill="FFFFFF"/>
        </w:rPr>
      </w:pPr>
    </w:p>
    <w:p w:rsidR="00C62B12" w:rsidRPr="00C62B12" w:rsidRDefault="00C62B12" w:rsidP="00EC3672">
      <w:pPr>
        <w:rPr>
          <w:rFonts w:ascii="Times New Roman" w:hAnsi="Times New Roman"/>
        </w:rPr>
      </w:pPr>
    </w:p>
    <w:sectPr w:rsidR="00C62B12" w:rsidRPr="00C62B1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4" w15:restartNumberingAfterBreak="0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75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41C42"/>
    <w:multiLevelType w:val="multilevel"/>
    <w:tmpl w:val="02E6B498"/>
    <w:numStyleLink w:val="1"/>
  </w:abstractNum>
  <w:abstractNum w:abstractNumId="11" w15:restartNumberingAfterBreak="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A36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3"/>
  </w:num>
  <w:num w:numId="5">
    <w:abstractNumId w:val="12"/>
  </w:num>
  <w:num w:numId="6">
    <w:abstractNumId w:val="17"/>
  </w:num>
  <w:num w:numId="7">
    <w:abstractNumId w:val="6"/>
  </w:num>
  <w:num w:numId="8">
    <w:abstractNumId w:val="18"/>
  </w:num>
  <w:num w:numId="9">
    <w:abstractNumId w:val="16"/>
  </w:num>
  <w:num w:numId="10">
    <w:abstractNumId w:val="14"/>
  </w:num>
  <w:num w:numId="11">
    <w:abstractNumId w:val="4"/>
  </w:num>
  <w:num w:numId="12">
    <w:abstractNumId w:val="15"/>
  </w:num>
  <w:num w:numId="13">
    <w:abstractNumId w:val="7"/>
  </w:num>
  <w:num w:numId="14">
    <w:abstractNumId w:val="9"/>
  </w:num>
  <w:num w:numId="15">
    <w:abstractNumId w:val="0"/>
  </w:num>
  <w:num w:numId="16">
    <w:abstractNumId w:val="8"/>
  </w:num>
  <w:num w:numId="17">
    <w:abstractNumId w:val="2"/>
  </w:num>
  <w:num w:numId="18">
    <w:abstractNumId w:val="1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5292"/>
    <w:rsid w:val="00057896"/>
    <w:rsid w:val="00087A6D"/>
    <w:rsid w:val="000932BF"/>
    <w:rsid w:val="000A1981"/>
    <w:rsid w:val="0011717B"/>
    <w:rsid w:val="001957DD"/>
    <w:rsid w:val="001A5466"/>
    <w:rsid w:val="001A6E89"/>
    <w:rsid w:val="001B3A78"/>
    <w:rsid w:val="001F641E"/>
    <w:rsid w:val="00214F7E"/>
    <w:rsid w:val="00224FCC"/>
    <w:rsid w:val="00240896"/>
    <w:rsid w:val="002674DC"/>
    <w:rsid w:val="002C65C1"/>
    <w:rsid w:val="002C6B7E"/>
    <w:rsid w:val="002D3EC3"/>
    <w:rsid w:val="002E337F"/>
    <w:rsid w:val="003062A3"/>
    <w:rsid w:val="003458A5"/>
    <w:rsid w:val="00380567"/>
    <w:rsid w:val="0038503A"/>
    <w:rsid w:val="00394A91"/>
    <w:rsid w:val="003B0039"/>
    <w:rsid w:val="003E30E4"/>
    <w:rsid w:val="003F104E"/>
    <w:rsid w:val="00400BB6"/>
    <w:rsid w:val="00476D10"/>
    <w:rsid w:val="00491169"/>
    <w:rsid w:val="00491D87"/>
    <w:rsid w:val="00492696"/>
    <w:rsid w:val="00493E09"/>
    <w:rsid w:val="004B72F3"/>
    <w:rsid w:val="00503AB4"/>
    <w:rsid w:val="00507B57"/>
    <w:rsid w:val="005270B8"/>
    <w:rsid w:val="005B2463"/>
    <w:rsid w:val="005C55AC"/>
    <w:rsid w:val="006208F4"/>
    <w:rsid w:val="00626D76"/>
    <w:rsid w:val="00644262"/>
    <w:rsid w:val="006B338A"/>
    <w:rsid w:val="006C1A76"/>
    <w:rsid w:val="006C5F64"/>
    <w:rsid w:val="006F6133"/>
    <w:rsid w:val="0070313E"/>
    <w:rsid w:val="00717DFC"/>
    <w:rsid w:val="00765B99"/>
    <w:rsid w:val="007679B1"/>
    <w:rsid w:val="00771BF2"/>
    <w:rsid w:val="00784D71"/>
    <w:rsid w:val="0079383A"/>
    <w:rsid w:val="007978DF"/>
    <w:rsid w:val="007A1E19"/>
    <w:rsid w:val="00822C6B"/>
    <w:rsid w:val="00853A21"/>
    <w:rsid w:val="00857A8A"/>
    <w:rsid w:val="0087599C"/>
    <w:rsid w:val="008916CA"/>
    <w:rsid w:val="00895484"/>
    <w:rsid w:val="008C64E3"/>
    <w:rsid w:val="008D0D7C"/>
    <w:rsid w:val="008E4BF4"/>
    <w:rsid w:val="008F2B20"/>
    <w:rsid w:val="008F3072"/>
    <w:rsid w:val="00900672"/>
    <w:rsid w:val="00900E61"/>
    <w:rsid w:val="009476B7"/>
    <w:rsid w:val="009512B5"/>
    <w:rsid w:val="00956F18"/>
    <w:rsid w:val="00980A7D"/>
    <w:rsid w:val="009828A7"/>
    <w:rsid w:val="00996D8A"/>
    <w:rsid w:val="009B7B1E"/>
    <w:rsid w:val="009D2BEE"/>
    <w:rsid w:val="00A051BC"/>
    <w:rsid w:val="00A2460B"/>
    <w:rsid w:val="00A47646"/>
    <w:rsid w:val="00A8600A"/>
    <w:rsid w:val="00AD7066"/>
    <w:rsid w:val="00AE0E7A"/>
    <w:rsid w:val="00B319A7"/>
    <w:rsid w:val="00B31D58"/>
    <w:rsid w:val="00B53585"/>
    <w:rsid w:val="00B62109"/>
    <w:rsid w:val="00B728AB"/>
    <w:rsid w:val="00B76501"/>
    <w:rsid w:val="00B96F1D"/>
    <w:rsid w:val="00BA4C8A"/>
    <w:rsid w:val="00BB56BC"/>
    <w:rsid w:val="00BE62BE"/>
    <w:rsid w:val="00BF7F4C"/>
    <w:rsid w:val="00C22BAE"/>
    <w:rsid w:val="00C62B12"/>
    <w:rsid w:val="00C81ACD"/>
    <w:rsid w:val="00CB7A1D"/>
    <w:rsid w:val="00CE5B78"/>
    <w:rsid w:val="00D1659A"/>
    <w:rsid w:val="00D6245A"/>
    <w:rsid w:val="00D67B12"/>
    <w:rsid w:val="00D821EC"/>
    <w:rsid w:val="00E06D2B"/>
    <w:rsid w:val="00E15C3D"/>
    <w:rsid w:val="00E44A35"/>
    <w:rsid w:val="00E5460C"/>
    <w:rsid w:val="00EC3672"/>
    <w:rsid w:val="00EC526F"/>
    <w:rsid w:val="00EE6F73"/>
    <w:rsid w:val="00F036BF"/>
    <w:rsid w:val="00F16E83"/>
    <w:rsid w:val="00F229EF"/>
    <w:rsid w:val="00F23DBD"/>
    <w:rsid w:val="00F83700"/>
    <w:rsid w:val="00FB3778"/>
    <w:rsid w:val="00F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C3E7FD"/>
  <w14:defaultImageDpi w14:val="0"/>
  <w15:docId w15:val="{7A91A95E-A4E5-4FDB-B2A5-76AF9AF6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A7609-739D-4D89-AA94-635EDCAB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Нуриев Салават</cp:lastModifiedBy>
  <cp:revision>24</cp:revision>
  <cp:lastPrinted>2016-05-22T21:17:00Z</cp:lastPrinted>
  <dcterms:created xsi:type="dcterms:W3CDTF">2016-05-20T16:26:00Z</dcterms:created>
  <dcterms:modified xsi:type="dcterms:W3CDTF">2016-10-24T18:07:00Z</dcterms:modified>
</cp:coreProperties>
</file>