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5500"/>
      </w:pPr>
    </w:p>
    <w:p>
      <w:pPr>
        <w:pStyle w:val="Title"/>
        <w:spacing w:after="260" w:before="0"/>
        <w:jc w:val="center"/>
      </w:pPr>
      <w:r>
        <w:rPr>
          <w:rFonts w:ascii="Microsoft YaHei" w:cs="Microsoft YaHei" w:eastAsia="Microsoft YaHei" w:hAnsi="Microsoft YaHei"/>
          <w:b/>
          <w:bCs/>
          <w:color w:val="000000"/>
          <w:sz w:val="34"/>
          <w:szCs w:val="34"/>
        </w:rPr>
        <w:t xml:space="preserve">网深科技流量分析系统</w:t>
      </w:r>
    </w:p>
    <w:p>
      <w:pPr>
        <w:spacing w:after="260" w:before="0"/>
        <w:jc w:val="center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4"/>
          <w:szCs w:val="24"/>
        </w:rPr>
        <w:t xml:space="preserve">故障分析报告</w:t>
      </w:r>
    </w:p>
    <w:p>
      <w:pPr>
        <w:spacing w:after="100" w:before="0"/>
        <w:jc w:val="center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2"/>
          <w:szCs w:val="22"/>
        </w:rPr>
        <w:t xml:space="preserve">核心交换机G0-1端口流量突发中断</w:t>
      </w:r>
    </w:p>
    <w:p>
      <w:pPr>
        <w:spacing w:after="100" w:before="0"/>
        <w:jc w:val="center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>2026-06-20 14:00 ~ 16:00</w:t>
      </w:r>
    </w:p>
    <w:p>
      <w:r>
        <w:br w:type="page"/>
      </w:r>
    </w:p>
    <w:p>
      <w:pPr>
        <w:spacing w:after="180" w:before="0"/>
        <w:jc w:val="center"/>
      </w:pPr>
      <w:r>
        <w:rPr>
          <w:rFonts w:ascii="Microsoft YaHei" w:cs="Microsoft YaHei" w:eastAsia="Microsoft YaHei" w:hAnsi="Microsoft YaHei"/>
          <w:b/>
          <w:bCs/>
          <w:color w:val="000000"/>
          <w:sz w:val="28"/>
          <w:szCs w:val="28"/>
        </w:rPr>
        <w:t xml:space="preserve">目录</w:t>
      </w:r>
    </w:p>
    <w:sdt>
      <w:sdtPr>
        <w:alias w:val="Fault Diagnosis Report TOC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1"/>
          <w:szCs w:val="21"/>
        </w:rPr>
        <w:t xml:space="preserve"/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000000"/>
          <w:sz w:val="28"/>
          <w:szCs w:val="28"/>
        </w:rPr>
        <w:t xml:space="preserve">1 故障概述</w:t>
      </w:r>
    </w:p>
    <w:p>
      <w:pPr>
        <w:pStyle w:val="Heading2"/>
        <w:spacing w:after="120" w:before="160"/>
      </w:pPr>
      <w:r>
        <w:rPr>
          <w:rFonts w:ascii="Microsoft YaHei" w:cs="Microsoft YaHei" w:eastAsia="Microsoft YaHei" w:hAnsi="Microsoft YaHei"/>
          <w:b/>
          <w:bCs/>
          <w:color w:val="000000"/>
          <w:sz w:val="24"/>
          <w:szCs w:val="24"/>
        </w:rPr>
        <w:t xml:space="preserve">1.1 故障基本信息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E5E7EB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20"/>
                <w:szCs w:val="20"/>
              </w:rPr>
              <w:t xml:space="preserve">项目</w:t>
            </w:r>
          </w:p>
        </w:tc>
        <w:tc>
          <w:tcPr>
            <w:shd w:fill="E5E7EB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故障名称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核心交换机G0/1端口在14:05突发流量中断，上行流量从1.2Gbps骤降至350Mbps，降幅达71%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严重级别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critical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受影响对象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10.1.1.0/24, web-app-01, web-app-02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故障时间范围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2026-06-20 14:00 ~ 16:00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基线时间范围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1779913600 ~ 1780000000</w:t>
            </w:r>
          </w:p>
        </w:tc>
      </w:tr>
    </w:tbl>
    <w:p>
      <w:pPr>
        <w:spacing w:after="80" w:before="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1"/>
          <w:szCs w:val="21"/>
        </w:rPr>
        <w:t xml:space="preserve"/>
      </w:r>
    </w:p>
    <w:p>
      <w:pPr>
        <w:pStyle w:val="Heading2"/>
        <w:spacing w:after="120" w:before="160"/>
      </w:pPr>
      <w:r>
        <w:rPr>
          <w:rFonts w:ascii="Microsoft YaHei" w:cs="Microsoft YaHei" w:eastAsia="Microsoft YaHei" w:hAnsi="Microsoft YaHei"/>
          <w:b/>
          <w:bCs/>
          <w:color w:val="000000"/>
          <w:sz w:val="24"/>
          <w:szCs w:val="24"/>
        </w:rPr>
        <w:t xml:space="preserve">1.2 故障时间线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E5E7EB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20"/>
                <w:szCs w:val="20"/>
              </w:rPr>
              <w:t xml:space="preserve">时间</w:t>
            </w:r>
          </w:p>
        </w:tc>
        <w:tc>
          <w:tcPr>
            <w:shd w:fill="E5E7EB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20"/>
                <w:szCs w:val="20"/>
              </w:rPr>
              <w:t xml:space="preserve">事件</w:t>
            </w:r>
          </w:p>
        </w:tc>
        <w:tc>
          <w:tcPr>
            <w:shd w:fill="E5E7EB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20"/>
                <w:szCs w:val="20"/>
              </w:rPr>
              <w:t xml:space="preserve">类型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14:05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G0/1端口流量开始急剧下降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触发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14:08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NAPM触发告警：端口流量大幅下降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告警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14:12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web-app-01 业务慢访问率从2%飙升至15%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影响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14:15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监控系统确认故障：端口光模块信号丢失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影响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15:30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更换光模块后流量逐步恢复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恢复</w:t>
            </w:r>
          </w:p>
        </w:tc>
      </w:tr>
    </w:tbl>
    <w:p>
      <w:pPr>
        <w:spacing w:after="80" w:before="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1"/>
          <w:szCs w:val="21"/>
        </w:rPr>
        <w:t xml:space="preserve"/>
      </w:r>
    </w:p>
    <w:p>
      <w:pPr>
        <w:pStyle w:val="Heading2"/>
        <w:spacing w:after="120" w:before="160"/>
      </w:pPr>
      <w:r>
        <w:rPr>
          <w:rFonts w:ascii="Microsoft YaHei" w:cs="Microsoft YaHei" w:eastAsia="Microsoft YaHei" w:hAnsi="Microsoft YaHei"/>
          <w:b/>
          <w:bCs/>
          <w:color w:val="000000"/>
          <w:sz w:val="24"/>
          <w:szCs w:val="24"/>
        </w:rPr>
        <w:t xml:space="preserve">1.3 综合影响评估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E5E7EB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20"/>
                <w:szCs w:val="20"/>
              </w:rPr>
              <w:t xml:space="preserve">评估维度</w:t>
            </w:r>
          </w:p>
        </w:tc>
        <w:tc>
          <w:tcPr>
            <w:shd w:fill="E5E7EB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20"/>
                <w:szCs w:val="20"/>
              </w:rPr>
              <w:t xml:space="preserve">状态</w:t>
            </w:r>
          </w:p>
        </w:tc>
        <w:tc>
          <w:tcPr>
            <w:shd w:fill="E5E7EB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告警态势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异常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存在 3 条紧急告警，共 12 条告警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流量状况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异常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3 个流量异常，3 个缺失点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业务性能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需关注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3 个慢访问业务，3 个 HTTP 错误业务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数据包分析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异常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3 个关键发现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综合评估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异常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存在紧急级别问题，需立即处理</w:t>
            </w:r>
          </w:p>
        </w:tc>
      </w:tr>
    </w:tbl>
    <w:p>
      <w:pPr>
        <w:spacing w:after="80" w:before="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1"/>
          <w:szCs w:val="21"/>
        </w:rPr>
        <w:t xml:space="preserve"/>
      </w:r>
    </w:p>
    <w:p>
      <w:pPr>
        <w:spacing w:after="100"/>
      </w:pPr>
      <w:r>
        <w:rPr>
          <w:rFonts w:ascii="Microsoft YaHei" w:cs="Microsoft YaHei" w:eastAsia="Microsoft YaHei" w:hAnsi="Microsoft YaHei"/>
          <w:color w:val="000000"/>
          <w:sz w:val="21"/>
          <w:szCs w:val="21"/>
        </w:rPr>
        <w:t xml:space="preserve">⚠ 严重故障：核心交换机G0/1端口在14:05突发流量中断，上行流量从1.2Gbps骤降至350Mbps，降幅达71%，影响对象包括 ["10.1.1.0/24","web-app-01","web-app-02"]，需立即处理。</w:t>
      </w:r>
    </w:p>
    <w:p>
      <w:pPr>
        <w:pStyle w:val="Heading1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000000"/>
          <w:sz w:val="28"/>
          <w:szCs w:val="28"/>
        </w:rPr>
        <w:t xml:space="preserve">2 告警关联分析</w:t>
      </w:r>
    </w:p>
    <w:p>
      <w:pPr>
        <w:spacing w:after="100" w:before="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1"/>
          <w:szCs w:val="21"/>
        </w:rPr>
        <w:t xml:space="preserve">以下数据统计故障时间窗内产生的告警记录，用于分析告警与故障事件的关联关系。</w:t>
      </w:r>
    </w:p>
    <w:p>
      <w:pPr>
        <w:pStyle w:val="Heading2"/>
        <w:spacing w:after="120" w:before="160"/>
      </w:pPr>
      <w:r>
        <w:rPr>
          <w:rFonts w:ascii="Microsoft YaHei" w:cs="Microsoft YaHei" w:eastAsia="Microsoft YaHei" w:hAnsi="Microsoft YaHei"/>
          <w:b/>
          <w:bCs/>
          <w:color w:val="000000"/>
          <w:sz w:val="24"/>
          <w:szCs w:val="24"/>
        </w:rPr>
        <w:t xml:space="preserve">2.1 告警概览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E5E7EB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20"/>
                <w:szCs w:val="20"/>
              </w:rPr>
              <w:t xml:space="preserve">告警类别</w:t>
            </w:r>
          </w:p>
        </w:tc>
        <w:tc>
          <w:tcPr>
            <w:shd w:fill="E5E7EB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20"/>
                <w:szCs w:val="20"/>
              </w:rPr>
              <w:t xml:space="preserve">总数</w:t>
            </w:r>
          </w:p>
        </w:tc>
        <w:tc>
          <w:tcPr>
            <w:shd w:fill="E5E7EB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20"/>
                <w:szCs w:val="20"/>
              </w:rPr>
              <w:t xml:space="preserve">紧急</w:t>
            </w:r>
          </w:p>
        </w:tc>
        <w:tc>
          <w:tcPr>
            <w:shd w:fill="E5E7EB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20"/>
                <w:szCs w:val="20"/>
              </w:rPr>
              <w:t xml:space="preserve">重大</w:t>
            </w:r>
          </w:p>
        </w:tc>
        <w:tc>
          <w:tcPr>
            <w:shd w:fill="E5E7EB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20"/>
                <w:szCs w:val="20"/>
              </w:rPr>
              <w:t xml:space="preserve">轻微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网络性能告警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0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0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网络异常告警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7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1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应用性能告警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0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0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2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用户体验告警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0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0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1</w:t>
            </w:r>
          </w:p>
        </w:tc>
      </w:tr>
    </w:tbl>
    <w:p>
      <w:pPr>
        <w:spacing w:after="80" w:before="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1"/>
          <w:szCs w:val="21"/>
        </w:rPr>
        <w:t xml:space="preserve"/>
      </w:r>
    </w:p>
    <w:p>
      <w:pPr>
        <w:pStyle w:val="Heading2"/>
        <w:spacing w:after="120" w:before="160"/>
      </w:pPr>
      <w:r>
        <w:rPr>
          <w:rFonts w:ascii="Microsoft YaHei" w:cs="Microsoft YaHei" w:eastAsia="Microsoft YaHei" w:hAnsi="Microsoft YaHei"/>
          <w:b/>
          <w:bCs/>
          <w:color w:val="000000"/>
          <w:sz w:val="24"/>
          <w:szCs w:val="24"/>
        </w:rPr>
        <w:t xml:space="preserve">2.2 告警时序</w:t>
      </w:r>
    </w:p>
    <w:p>
      <w:pPr>
        <w:spacing w:after="80" w:before="0"/>
      </w:pPr>
      <w:r>
        <w:rPr>
          <w:rFonts w:ascii="Microsoft YaHei" w:cs="Microsoft YaHei" w:eastAsia="Microsoft YaHei" w:hAnsi="Microsoft YaHei"/>
          <w:b/>
          <w:bCs/>
          <w:color w:val="000000"/>
          <w:sz w:val="21"/>
          <w:szCs w:val="21"/>
        </w:rPr>
        <w:t xml:space="preserve">告警时序图</w:t>
      </w:r>
    </w:p>
    <w:p>
      <w:pPr>
        <w:spacing w:after="120"/>
        <w:jc w:val="center"/>
      </w:pPr>
      <w:r>
        <w:drawing>
          <wp:inline distT="0" distB="0" distL="0" distR="0">
            <wp:extent cx="5905500" cy="3429000"/>
            <wp:effectExtent t="0" r="0" b="0" l="0"/>
            <wp:docPr id="1" descr="告警时序图" title="告警时序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1"/>
          <w:szCs w:val="21"/>
        </w:rPr>
        <w:t xml:space="preserve"/>
      </w:r>
    </w:p>
    <w:p>
      <w:pPr>
        <w:pStyle w:val="Heading2"/>
        <w:spacing w:after="120" w:before="160"/>
      </w:pPr>
      <w:r>
        <w:rPr>
          <w:rFonts w:ascii="Microsoft YaHei" w:cs="Microsoft YaHei" w:eastAsia="Microsoft YaHei" w:hAnsi="Microsoft YaHei"/>
          <w:b/>
          <w:bCs/>
          <w:color w:val="000000"/>
          <w:sz w:val="24"/>
          <w:szCs w:val="24"/>
        </w:rPr>
        <w:t xml:space="preserve">2.3 关联告警详情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E5E7EB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20"/>
                <w:szCs w:val="20"/>
              </w:rPr>
              <w:t xml:space="preserve">告警ID</w:t>
            </w:r>
          </w:p>
        </w:tc>
        <w:tc>
          <w:tcPr>
            <w:shd w:fill="E5E7EB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20"/>
                <w:szCs w:val="20"/>
              </w:rPr>
              <w:t xml:space="preserve">告警名称</w:t>
            </w:r>
          </w:p>
        </w:tc>
        <w:tc>
          <w:tcPr>
            <w:shd w:fill="E5E7EB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20"/>
                <w:szCs w:val="20"/>
              </w:rPr>
              <w:t xml:space="preserve">级别</w:t>
            </w:r>
          </w:p>
        </w:tc>
        <w:tc>
          <w:tcPr>
            <w:shd w:fill="E5E7EB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20"/>
                <w:szCs w:val="20"/>
              </w:rPr>
              <w:t xml:space="preserve">类别</w:t>
            </w:r>
          </w:p>
        </w:tc>
        <w:tc>
          <w:tcPr>
            <w:shd w:fill="E5E7EB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20"/>
                <w:szCs w:val="20"/>
              </w:rPr>
              <w:t xml:space="preserve">对象</w:t>
            </w:r>
          </w:p>
        </w:tc>
        <w:tc>
          <w:tcPr>
            <w:shd w:fill="E5E7EB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20"/>
                <w:szCs w:val="20"/>
              </w:rPr>
              <w:t xml:space="preserve">开始时间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evt-20260620-001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核心交换机端口流量突降 &gt; 50%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紧急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网络异常告警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10.1.1.1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2026-05-28T20:33:20.000Z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evt-20260620-002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光模块发送光功率过低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紧急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网络异常告警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10.1.1.1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2026-05-28T20:36:40.000Z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evt-20260620-003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web-app-01 应用响应时间 &gt; 3s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轻微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应用性能告警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web-app-01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2026-05-28T20:45:00.000Z</w:t>
            </w:r>
          </w:p>
        </w:tc>
      </w:tr>
    </w:tbl>
    <w:p>
      <w:pPr>
        <w:spacing w:after="80" w:before="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1"/>
          <w:szCs w:val="21"/>
        </w:rPr>
        <w:t xml:space="preserve"/>
      </w:r>
    </w:p>
    <w:p>
      <w:pPr>
        <w:spacing w:after="100"/>
      </w:pPr>
      <w:r>
        <w:rPr>
          <w:rFonts w:ascii="Microsoft YaHei" w:cs="Microsoft YaHei" w:eastAsia="Microsoft YaHei" w:hAnsi="Microsoft YaHei"/>
          <w:color w:val="000000"/>
          <w:sz w:val="21"/>
          <w:szCs w:val="21"/>
        </w:rPr>
        <w:t xml:space="preserve">故障时段触发 3 条紧急告警，主要集中在 网络性能告警 类别。</w:t>
      </w:r>
    </w:p>
    <w:p>
      <w:pPr>
        <w:pStyle w:val="Heading1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000000"/>
          <w:sz w:val="28"/>
          <w:szCs w:val="28"/>
        </w:rPr>
        <w:t xml:space="preserve">3 流量异常分析</w:t>
      </w:r>
    </w:p>
    <w:p>
      <w:pPr>
        <w:spacing w:after="100" w:before="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1"/>
          <w:szCs w:val="21"/>
        </w:rPr>
        <w:t xml:space="preserve">以下数据展示故障时间窗内的流量趋势，并与正常基线进行对比，定位流量异常的时间和幅度。</w:t>
      </w:r>
    </w:p>
    <w:p>
      <w:pPr>
        <w:pStyle w:val="Heading2"/>
        <w:spacing w:after="120" w:before="160"/>
      </w:pPr>
      <w:r>
        <w:rPr>
          <w:rFonts w:ascii="Microsoft YaHei" w:cs="Microsoft YaHei" w:eastAsia="Microsoft YaHei" w:hAnsi="Microsoft YaHei"/>
          <w:b/>
          <w:bCs/>
          <w:color w:val="000000"/>
          <w:sz w:val="24"/>
          <w:szCs w:val="24"/>
        </w:rPr>
        <w:t xml:space="preserve">3.1 流量趋势</w:t>
      </w:r>
    </w:p>
    <w:p>
      <w:pPr>
        <w:spacing w:after="80" w:before="0"/>
      </w:pPr>
      <w:r>
        <w:rPr>
          <w:rFonts w:ascii="Microsoft YaHei" w:cs="Microsoft YaHei" w:eastAsia="Microsoft YaHei" w:hAnsi="Microsoft YaHei"/>
          <w:b/>
          <w:bCs/>
          <w:color w:val="000000"/>
          <w:sz w:val="21"/>
          <w:szCs w:val="21"/>
        </w:rPr>
        <w:t xml:space="preserve">故障时段流量趋势图</w:t>
      </w:r>
    </w:p>
    <w:p>
      <w:pPr>
        <w:spacing w:after="120"/>
        <w:jc w:val="center"/>
      </w:pPr>
      <w:r>
        <w:drawing>
          <wp:inline distT="0" distB="0" distL="0" distR="0">
            <wp:extent cx="5905500" cy="3429000"/>
            <wp:effectExtent t="0" r="0" b="0" l="0"/>
            <wp:docPr id="1" descr="故障时段流量趋势图" title="故障时段流量趋势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1"/>
          <w:szCs w:val="21"/>
        </w:rPr>
        <w:t xml:space="preserve"/>
      </w:r>
    </w:p>
    <w:p>
      <w:pPr>
        <w:pStyle w:val="Heading2"/>
        <w:spacing w:after="120" w:before="160"/>
      </w:pPr>
      <w:r>
        <w:rPr>
          <w:rFonts w:ascii="Microsoft YaHei" w:cs="Microsoft YaHei" w:eastAsia="Microsoft YaHei" w:hAnsi="Microsoft YaHei"/>
          <w:b/>
          <w:bCs/>
          <w:color w:val="000000"/>
          <w:sz w:val="24"/>
          <w:szCs w:val="24"/>
        </w:rPr>
        <w:t xml:space="preserve">3.2 流量异常明细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E5E7EB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20"/>
                <w:szCs w:val="20"/>
              </w:rPr>
              <w:t xml:space="preserve">时间</w:t>
            </w:r>
          </w:p>
        </w:tc>
        <w:tc>
          <w:tcPr>
            <w:shd w:fill="E5E7EB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20"/>
                <w:szCs w:val="20"/>
              </w:rPr>
              <w:t xml:space="preserve">指标</w:t>
            </w:r>
          </w:p>
        </w:tc>
        <w:tc>
          <w:tcPr>
            <w:shd w:fill="E5E7EB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20"/>
                <w:szCs w:val="20"/>
              </w:rPr>
              <w:t xml:space="preserve">异常描述</w:t>
            </w:r>
          </w:p>
        </w:tc>
        <w:tc>
          <w:tcPr>
            <w:shd w:fill="E5E7EB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20"/>
                <w:szCs w:val="20"/>
              </w:rPr>
              <w:t xml:space="preserve">严重级别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14:05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TPIO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端口总流量从1.2Gbps骤降至350Mbps，降幅71%，与光模块故障时间吻合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critical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14:10-14:15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TPI/TPO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入流量和出流量同步下降，确认非单向故障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major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14:05-15:30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TPIO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故障窗口持续约85分钟，期间流量维持在基线30%水平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major</w:t>
            </w:r>
          </w:p>
        </w:tc>
      </w:tr>
    </w:tbl>
    <w:p>
      <w:pPr>
        <w:spacing w:after="80" w:before="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1"/>
          <w:szCs w:val="21"/>
        </w:rPr>
        <w:t xml:space="preserve"/>
      </w:r>
    </w:p>
    <w:p>
      <w:pPr>
        <w:pStyle w:val="Heading2"/>
        <w:spacing w:after="120" w:before="160"/>
      </w:pPr>
      <w:r>
        <w:rPr>
          <w:rFonts w:ascii="Microsoft YaHei" w:cs="Microsoft YaHei" w:eastAsia="Microsoft YaHei" w:hAnsi="Microsoft YaHei"/>
          <w:b/>
          <w:bCs/>
          <w:color w:val="000000"/>
          <w:sz w:val="24"/>
          <w:szCs w:val="24"/>
        </w:rPr>
        <w:t xml:space="preserve">3.3 Top 受影响对象</w:t>
      </w:r>
    </w:p>
    <w:p>
      <w:pPr>
        <w:spacing w:after="80" w:before="0"/>
      </w:pPr>
      <w:r>
        <w:rPr>
          <w:rFonts w:ascii="Microsoft YaHei" w:cs="Microsoft YaHei" w:eastAsia="Microsoft YaHei" w:hAnsi="Microsoft YaHei"/>
          <w:b/>
          <w:bCs/>
          <w:color w:val="000000"/>
          <w:sz w:val="21"/>
          <w:szCs w:val="21"/>
        </w:rPr>
        <w:t xml:space="preserve">Top 受影响 IP</w:t>
      </w:r>
    </w:p>
    <w:p>
      <w:pPr>
        <w:spacing w:after="120"/>
        <w:jc w:val="center"/>
      </w:pPr>
      <w:r>
        <w:drawing>
          <wp:inline distT="0" distB="0" distL="0" distR="0">
            <wp:extent cx="5905500" cy="3429000"/>
            <wp:effectExtent t="0" r="0" b="0" l="0"/>
            <wp:docPr id="1" descr="Top 受影响 IP" title="Top 受影响 I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1"/>
          <w:szCs w:val="21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E5E7EB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20"/>
                <w:szCs w:val="20"/>
              </w:rPr>
              <w:t xml:space="preserve">序号</w:t>
            </w:r>
          </w:p>
        </w:tc>
        <w:tc>
          <w:tcPr>
            <w:shd w:fill="E5E7EB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20"/>
                <w:szCs w:val="20"/>
              </w:rPr>
              <w:t xml:space="preserve">IP地址</w:t>
            </w:r>
          </w:p>
        </w:tc>
        <w:tc>
          <w:tcPr>
            <w:shd w:fill="E5E7EB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20"/>
                <w:szCs w:val="20"/>
              </w:rPr>
              <w:t xml:space="preserve">总流量(kb/s)</w:t>
            </w:r>
          </w:p>
        </w:tc>
        <w:tc>
          <w:tcPr>
            <w:shd w:fill="E5E7EB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20"/>
                <w:szCs w:val="20"/>
              </w:rPr>
              <w:t xml:space="preserve">入流量(kb/s)</w:t>
            </w:r>
          </w:p>
        </w:tc>
        <w:tc>
          <w:tcPr>
            <w:shd w:fill="E5E7EB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20"/>
                <w:szCs w:val="20"/>
              </w:rPr>
              <w:t xml:space="preserve">出流量(kb/s)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10.1.1.100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450000.000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280000.000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170000.000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10.1.1.101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320000.000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200000.000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120000.000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10.1.1.102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280000.000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180000.000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100000.000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4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10.1.2.50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250000.000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150000.000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100000.000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5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10.1.2.51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220000.000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130000.000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90000.000</w:t>
            </w:r>
          </w:p>
        </w:tc>
      </w:tr>
    </w:tbl>
    <w:p>
      <w:pPr>
        <w:spacing w:after="80" w:before="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1"/>
          <w:szCs w:val="21"/>
        </w:rPr>
        <w:t xml:space="preserve"/>
      </w:r>
    </w:p>
    <w:p>
      <w:pPr>
        <w:spacing w:after="100"/>
      </w:pPr>
      <w:r>
        <w:rPr>
          <w:rFonts w:ascii="Microsoft YaHei" w:cs="Microsoft YaHei" w:eastAsia="Microsoft YaHei" w:hAnsi="Microsoft YaHei"/>
          <w:color w:val="000000"/>
          <w:sz w:val="21"/>
          <w:szCs w:val="21"/>
        </w:rPr>
        <w:t xml:space="preserve">流量趋势存在 3 个缺失点，可能为采集中断或设备故障导致。</w:t>
      </w:r>
    </w:p>
    <w:p>
      <w:pPr>
        <w:pStyle w:val="Heading1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000000"/>
          <w:sz w:val="28"/>
          <w:szCs w:val="28"/>
        </w:rPr>
        <w:t xml:space="preserve">4 业务性能影响</w:t>
      </w:r>
    </w:p>
    <w:p>
      <w:pPr>
        <w:spacing w:after="100" w:before="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1"/>
          <w:szCs w:val="21"/>
        </w:rPr>
        <w:t xml:space="preserve">以下数据展示故障时间窗内业务性能状况，重点关注慢访问和 HTTP 错误的变化。</w:t>
      </w:r>
    </w:p>
    <w:p>
      <w:pPr>
        <w:pStyle w:val="Heading2"/>
        <w:spacing w:after="120" w:before="160"/>
      </w:pPr>
      <w:r>
        <w:rPr>
          <w:rFonts w:ascii="Microsoft YaHei" w:cs="Microsoft YaHei" w:eastAsia="Microsoft YaHei" w:hAnsi="Microsoft YaHei"/>
          <w:b/>
          <w:bCs/>
          <w:color w:val="000000"/>
          <w:sz w:val="24"/>
          <w:szCs w:val="24"/>
        </w:rPr>
        <w:t xml:space="preserve">4.1 慢访问状况</w:t>
      </w:r>
    </w:p>
    <w:p>
      <w:pPr>
        <w:spacing w:after="80" w:before="0"/>
      </w:pPr>
      <w:r>
        <w:rPr>
          <w:rFonts w:ascii="Microsoft YaHei" w:cs="Microsoft YaHei" w:eastAsia="Microsoft YaHei" w:hAnsi="Microsoft YaHei"/>
          <w:b/>
          <w:bCs/>
          <w:color w:val="000000"/>
          <w:sz w:val="21"/>
          <w:szCs w:val="21"/>
        </w:rPr>
        <w:t xml:space="preserve">慢访问业务</w:t>
      </w:r>
    </w:p>
    <w:p>
      <w:pPr>
        <w:spacing w:after="120"/>
        <w:jc w:val="center"/>
      </w:pPr>
      <w:r>
        <w:drawing>
          <wp:inline distT="0" distB="0" distL="0" distR="0">
            <wp:extent cx="5905500" cy="3429000"/>
            <wp:effectExtent t="0" r="0" b="0" l="0"/>
            <wp:docPr id="1" descr="慢访问业务" title="慢访问业务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1"/>
          <w:szCs w:val="21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E5E7EB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20"/>
                <w:szCs w:val="20"/>
              </w:rPr>
              <w:t xml:space="preserve">序号</w:t>
            </w:r>
          </w:p>
        </w:tc>
        <w:tc>
          <w:tcPr>
            <w:shd w:fill="E5E7EB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20"/>
                <w:szCs w:val="20"/>
              </w:rPr>
              <w:t xml:space="preserve">业务名称</w:t>
            </w:r>
          </w:p>
        </w:tc>
        <w:tc>
          <w:tcPr>
            <w:shd w:fill="E5E7EB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20"/>
                <w:szCs w:val="20"/>
              </w:rPr>
              <w:t xml:space="preserve">慢访问占比</w:t>
            </w:r>
          </w:p>
        </w:tc>
        <w:tc>
          <w:tcPr>
            <w:shd w:fill="E5E7EB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20"/>
                <w:szCs w:val="20"/>
              </w:rPr>
              <w:t xml:space="preserve">慢访问次数</w:t>
            </w:r>
          </w:p>
        </w:tc>
        <w:tc>
          <w:tcPr>
            <w:shd w:fill="E5E7EB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20"/>
                <w:szCs w:val="20"/>
              </w:rPr>
              <w:t xml:space="preserve">平均时延(ms)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web-app-01/login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15.3%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230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3200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web-app-01/api/data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12.1%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180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2800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web-app-02/home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8.5%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95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2100</w:t>
            </w:r>
          </w:p>
        </w:tc>
      </w:tr>
    </w:tbl>
    <w:p>
      <w:pPr>
        <w:spacing w:after="80" w:before="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1"/>
          <w:szCs w:val="21"/>
        </w:rPr>
        <w:t xml:space="preserve"/>
      </w:r>
    </w:p>
    <w:p>
      <w:pPr>
        <w:pStyle w:val="Heading2"/>
        <w:spacing w:after="120" w:before="160"/>
      </w:pPr>
      <w:r>
        <w:rPr>
          <w:rFonts w:ascii="Microsoft YaHei" w:cs="Microsoft YaHei" w:eastAsia="Microsoft YaHei" w:hAnsi="Microsoft YaHei"/>
          <w:b/>
          <w:bCs/>
          <w:color w:val="000000"/>
          <w:sz w:val="24"/>
          <w:szCs w:val="24"/>
        </w:rPr>
        <w:t xml:space="preserve">4.2 HTTP 错误状况</w:t>
      </w:r>
    </w:p>
    <w:p>
      <w:pPr>
        <w:spacing w:after="80" w:before="0"/>
      </w:pPr>
      <w:r>
        <w:rPr>
          <w:rFonts w:ascii="Microsoft YaHei" w:cs="Microsoft YaHei" w:eastAsia="Microsoft YaHei" w:hAnsi="Microsoft YaHei"/>
          <w:b/>
          <w:bCs/>
          <w:color w:val="000000"/>
          <w:sz w:val="21"/>
          <w:szCs w:val="21"/>
        </w:rPr>
        <w:t xml:space="preserve">HTTP 错误业务</w:t>
      </w:r>
    </w:p>
    <w:p>
      <w:pPr>
        <w:spacing w:after="120"/>
        <w:jc w:val="center"/>
      </w:pPr>
      <w:r>
        <w:drawing>
          <wp:inline distT="0" distB="0" distL="0" distR="0">
            <wp:extent cx="5905500" cy="3429000"/>
            <wp:effectExtent t="0" r="0" b="0" l="0"/>
            <wp:docPr id="1" descr="HTTP 错误业务" title="HTTP 错误业务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1"/>
          <w:szCs w:val="21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E5E7EB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20"/>
                <w:szCs w:val="20"/>
              </w:rPr>
              <w:t xml:space="preserve">序号</w:t>
            </w:r>
          </w:p>
        </w:tc>
        <w:tc>
          <w:tcPr>
            <w:shd w:fill="E5E7EB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20"/>
                <w:szCs w:val="20"/>
              </w:rPr>
              <w:t xml:space="preserve">业务名称</w:t>
            </w:r>
          </w:p>
        </w:tc>
        <w:tc>
          <w:tcPr>
            <w:shd w:fill="E5E7EB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20"/>
                <w:szCs w:val="20"/>
              </w:rPr>
              <w:t xml:space="preserve">HTTP 400</w:t>
            </w:r>
          </w:p>
        </w:tc>
        <w:tc>
          <w:tcPr>
            <w:shd w:fill="E5E7EB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20"/>
                <w:szCs w:val="20"/>
              </w:rPr>
              <w:t xml:space="preserve">HTTP 500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web-app-01/api/data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45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120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web-app-01/login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20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85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web-app-02/api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15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30</w:t>
            </w:r>
          </w:p>
        </w:tc>
      </w:tr>
    </w:tbl>
    <w:p>
      <w:pPr>
        <w:spacing w:after="80" w:before="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1"/>
          <w:szCs w:val="21"/>
        </w:rPr>
        <w:t xml:space="preserve"/>
      </w:r>
    </w:p>
    <w:p>
      <w:pPr>
        <w:spacing w:after="100"/>
      </w:pPr>
      <w:r>
        <w:rPr>
          <w:rFonts w:ascii="Microsoft YaHei" w:cs="Microsoft YaHei" w:eastAsia="Microsoft YaHei" w:hAnsi="Microsoft YaHei"/>
          <w:color w:val="000000"/>
          <w:sz w:val="21"/>
          <w:szCs w:val="21"/>
        </w:rPr>
        <w:t xml:space="preserve">故障导致慢访问增加：web-app-01/login 慢访问占比 15.3%。</w:t>
      </w:r>
    </w:p>
    <w:p>
      <w:pPr>
        <w:pStyle w:val="Heading1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000000"/>
          <w:sz w:val="28"/>
          <w:szCs w:val="28"/>
        </w:rPr>
        <w:t xml:space="preserve">5 数据包深度分析</w:t>
      </w:r>
    </w:p>
    <w:p>
      <w:pPr>
        <w:spacing w:after="100" w:before="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1"/>
          <w:szCs w:val="21"/>
        </w:rPr>
        <w:t xml:space="preserve">以下数据来源于故障时段抓包文件的深度分析，用于辅助根因定位。</w:t>
      </w:r>
    </w:p>
    <w:p>
      <w:pPr>
        <w:pStyle w:val="Heading2"/>
        <w:spacing w:after="120" w:before="160"/>
      </w:pPr>
      <w:r>
        <w:rPr>
          <w:rFonts w:ascii="Microsoft YaHei" w:cs="Microsoft YaHei" w:eastAsia="Microsoft YaHei" w:hAnsi="Microsoft YaHei"/>
          <w:b/>
          <w:bCs/>
          <w:color w:val="000000"/>
          <w:sz w:val="24"/>
          <w:szCs w:val="24"/>
        </w:rPr>
        <w:t xml:space="preserve">5.1 协议分布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E5E7EB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20"/>
                <w:szCs w:val="20"/>
              </w:rPr>
              <w:t xml:space="preserve">序号</w:t>
            </w:r>
          </w:p>
        </w:tc>
        <w:tc>
          <w:tcPr>
            <w:shd w:fill="E5E7EB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20"/>
                <w:szCs w:val="20"/>
              </w:rPr>
              <w:t xml:space="preserve">协议</w:t>
            </w:r>
          </w:p>
        </w:tc>
        <w:tc>
          <w:tcPr>
            <w:shd w:fill="E5E7EB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20"/>
                <w:szCs w:val="20"/>
              </w:rPr>
              <w:t xml:space="preserve">帧数</w:t>
            </w:r>
          </w:p>
        </w:tc>
        <w:tc>
          <w:tcPr>
            <w:shd w:fill="E5E7EB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20"/>
                <w:szCs w:val="20"/>
              </w:rPr>
              <w:t xml:space="preserve">字节数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TCP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45000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38000000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TLS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12000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15000000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HTTP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8500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9200000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4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DNS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1200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340000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5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ICMP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450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28000</w:t>
            </w:r>
          </w:p>
        </w:tc>
      </w:tr>
    </w:tbl>
    <w:p>
      <w:pPr>
        <w:spacing w:after="80" w:before="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1"/>
          <w:szCs w:val="21"/>
        </w:rPr>
        <w:t xml:space="preserve"/>
      </w:r>
    </w:p>
    <w:p>
      <w:pPr>
        <w:pStyle w:val="Heading2"/>
        <w:spacing w:after="120" w:before="160"/>
      </w:pPr>
      <w:r>
        <w:rPr>
          <w:rFonts w:ascii="Microsoft YaHei" w:cs="Microsoft YaHei" w:eastAsia="Microsoft YaHei" w:hAnsi="Microsoft YaHei"/>
          <w:b/>
          <w:bCs/>
          <w:color w:val="000000"/>
          <w:sz w:val="24"/>
          <w:szCs w:val="24"/>
        </w:rPr>
        <w:t xml:space="preserve">5.2 关键端点与会话</w:t>
      </w:r>
    </w:p>
    <w:p>
      <w:pPr>
        <w:spacing w:after="80" w:before="0"/>
      </w:pPr>
      <w:r>
        <w:rPr>
          <w:rFonts w:ascii="Microsoft YaHei" w:cs="Microsoft YaHei" w:eastAsia="Microsoft YaHei" w:hAnsi="Microsoft YaHei"/>
          <w:b/>
          <w:bCs/>
          <w:color w:val="000000"/>
          <w:sz w:val="21"/>
          <w:szCs w:val="21"/>
        </w:rPr>
        <w:t xml:space="preserve">Top 对端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E5E7EB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20"/>
                <w:szCs w:val="20"/>
              </w:rPr>
              <w:t xml:space="preserve">序号</w:t>
            </w:r>
          </w:p>
        </w:tc>
        <w:tc>
          <w:tcPr>
            <w:shd w:fill="E5E7EB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20"/>
                <w:szCs w:val="20"/>
              </w:rPr>
              <w:t xml:space="preserve">地址</w:t>
            </w:r>
          </w:p>
        </w:tc>
        <w:tc>
          <w:tcPr>
            <w:shd w:fill="E5E7EB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20"/>
                <w:szCs w:val="20"/>
              </w:rPr>
              <w:t xml:space="preserve">数据包数</w:t>
            </w:r>
          </w:p>
        </w:tc>
        <w:tc>
          <w:tcPr>
            <w:shd w:fill="E5E7EB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20"/>
                <w:szCs w:val="20"/>
              </w:rPr>
              <w:t xml:space="preserve">字节数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10.1.1.100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25000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22000000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10.1.1.1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18000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15000000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10.1.2.50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12000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9800000</w:t>
            </w:r>
          </w:p>
        </w:tc>
      </w:tr>
    </w:tbl>
    <w:p>
      <w:pPr>
        <w:spacing w:after="80" w:before="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1"/>
          <w:szCs w:val="21"/>
        </w:rPr>
        <w:t xml:space="preserve"/>
      </w:r>
    </w:p>
    <w:p>
      <w:pPr>
        <w:spacing w:after="80" w:before="0"/>
      </w:pPr>
      <w:r>
        <w:rPr>
          <w:rFonts w:ascii="Microsoft YaHei" w:cs="Microsoft YaHei" w:eastAsia="Microsoft YaHei" w:hAnsi="Microsoft YaHei"/>
          <w:b/>
          <w:bCs/>
          <w:color w:val="000000"/>
          <w:sz w:val="21"/>
          <w:szCs w:val="21"/>
        </w:rPr>
        <w:t xml:space="preserve">Top 会话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E5E7EB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20"/>
                <w:szCs w:val="20"/>
              </w:rPr>
              <w:t xml:space="preserve">序号</w:t>
            </w:r>
          </w:p>
        </w:tc>
        <w:tc>
          <w:tcPr>
            <w:shd w:fill="E5E7EB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20"/>
                <w:szCs w:val="20"/>
              </w:rPr>
              <w:t xml:space="preserve">源地址</w:t>
            </w:r>
          </w:p>
        </w:tc>
        <w:tc>
          <w:tcPr>
            <w:shd w:fill="E5E7EB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20"/>
                <w:szCs w:val="20"/>
              </w:rPr>
              <w:t xml:space="preserve">目标地址</w:t>
            </w:r>
          </w:p>
        </w:tc>
        <w:tc>
          <w:tcPr>
            <w:shd w:fill="E5E7EB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20"/>
                <w:szCs w:val="20"/>
              </w:rPr>
              <w:t xml:space="preserve">数据包数</w:t>
            </w:r>
          </w:p>
        </w:tc>
        <w:tc>
          <w:tcPr>
            <w:shd w:fill="E5E7EB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20"/>
                <w:szCs w:val="20"/>
              </w:rPr>
              <w:t xml:space="preserve">字节数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10.1.1.100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10.1.2.50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15000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12000000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10.1.1.101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10.1.2.51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8000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6500000</w:t>
            </w:r>
          </w:p>
        </w:tc>
      </w:tr>
    </w:tbl>
    <w:p>
      <w:pPr>
        <w:spacing w:after="80" w:before="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1"/>
          <w:szCs w:val="21"/>
        </w:rPr>
        <w:t xml:space="preserve"/>
      </w:r>
    </w:p>
    <w:p>
      <w:pPr>
        <w:pStyle w:val="Heading2"/>
        <w:spacing w:after="120" w:before="160"/>
      </w:pPr>
      <w:r>
        <w:rPr>
          <w:rFonts w:ascii="Microsoft YaHei" w:cs="Microsoft YaHei" w:eastAsia="Microsoft YaHei" w:hAnsi="Microsoft YaHei"/>
          <w:b/>
          <w:bCs/>
          <w:color w:val="000000"/>
          <w:sz w:val="24"/>
          <w:szCs w:val="24"/>
        </w:rPr>
        <w:t xml:space="preserve">5.3 关键发现</w:t>
      </w:r>
    </w:p>
    <w:p>
      <w:pPr>
        <w:spacing w:after="80" w:before="0"/>
      </w:pPr>
      <w:r>
        <w:rPr>
          <w:rFonts w:ascii="Microsoft YaHei" w:cs="Microsoft YaHei" w:eastAsia="Microsoft YaHei" w:hAnsi="Microsoft YaHei"/>
          <w:b/>
          <w:bCs/>
          <w:color w:val="000000"/>
          <w:sz w:val="21"/>
          <w:szCs w:val="21"/>
        </w:rPr>
        <w:t xml:space="preserve">数据包分析关键发现：</w:t>
      </w:r>
    </w:p>
    <w:p>
      <w:pPr>
        <w:spacing w:after="80" w:before="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1"/>
          <w:szCs w:val="21"/>
        </w:rPr>
        <w:t xml:space="preserve">发现大量TCP重传，重传率高达23%（正常应&lt;2%），表明链路质量严重劣化</w:t>
      </w:r>
    </w:p>
    <w:p>
      <w:pPr>
        <w:spacing w:after="80" w:before="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1"/>
          <w:szCs w:val="21"/>
        </w:rPr>
        <w:t xml:space="preserve">TLS握手失败率增至8%，DNS解析平均延迟达520ms（正常&lt;50ms）</w:t>
      </w:r>
    </w:p>
    <w:p>
      <w:pPr>
        <w:spacing w:after="80" w:before="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1"/>
          <w:szCs w:val="21"/>
        </w:rPr>
        <w:t xml:space="preserve">光模块发送光功率从-3.2dBm骤降至-28dBm，确认硬件故障</w:t>
      </w:r>
    </w:p>
    <w:p>
      <w:pPr>
        <w:spacing w:after="100"/>
      </w:pPr>
      <w:r>
        <w:rPr>
          <w:rFonts w:ascii="Microsoft YaHei" w:cs="Microsoft YaHei" w:eastAsia="Microsoft YaHei" w:hAnsi="Microsoft YaHei"/>
          <w:color w:val="000000"/>
          <w:sz w:val="21"/>
          <w:szCs w:val="21"/>
        </w:rPr>
        <w:t xml:space="preserve">数据包分析完成，协议分布和端点详情见上方表格。</w:t>
      </w:r>
    </w:p>
    <w:p>
      <w:pPr>
        <w:pStyle w:val="Heading1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000000"/>
          <w:sz w:val="28"/>
          <w:szCs w:val="28"/>
        </w:rPr>
        <w:t xml:space="preserve">6 根因分析与建议</w:t>
      </w:r>
    </w:p>
    <w:p>
      <w:pPr>
        <w:pStyle w:val="Heading2"/>
        <w:spacing w:after="120" w:before="160"/>
      </w:pPr>
      <w:r>
        <w:rPr>
          <w:rFonts w:ascii="Microsoft YaHei" w:cs="Microsoft YaHei" w:eastAsia="Microsoft YaHei" w:hAnsi="Microsoft YaHei"/>
          <w:b/>
          <w:bCs/>
          <w:color w:val="000000"/>
          <w:sz w:val="24"/>
          <w:szCs w:val="24"/>
        </w:rPr>
        <w:t xml:space="preserve">6.1 根因判断</w:t>
      </w:r>
    </w:p>
    <w:p>
      <w:pPr>
        <w:spacing w:after="100"/>
      </w:pPr>
      <w:r>
        <w:rPr>
          <w:rFonts w:ascii="Microsoft YaHei" w:cs="Microsoft YaHei" w:eastAsia="Microsoft YaHei" w:hAnsi="Microsoft YaHei"/>
          <w:color w:val="000000"/>
          <w:sz w:val="21"/>
          <w:szCs w:val="21"/>
        </w:rPr>
        <w:t xml:space="preserve">综合判断：故障级别为严重，建议立即组织跨团队排查（网络 + 应用 + 系统）。</w:t>
      </w:r>
    </w:p>
    <w:p>
      <w:pPr>
        <w:pStyle w:val="Heading2"/>
        <w:spacing w:after="120" w:before="160"/>
      </w:pPr>
      <w:r>
        <w:rPr>
          <w:rFonts w:ascii="Microsoft YaHei" w:cs="Microsoft YaHei" w:eastAsia="Microsoft YaHei" w:hAnsi="Microsoft YaHei"/>
          <w:b/>
          <w:bCs/>
          <w:color w:val="000000"/>
          <w:sz w:val="24"/>
          <w:szCs w:val="24"/>
        </w:rPr>
        <w:t xml:space="preserve">6.2 修复建议</w:t>
      </w:r>
    </w:p>
    <w:p>
      <w:pPr>
        <w:spacing w:after="80" w:before="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1"/>
          <w:szCs w:val="21"/>
        </w:rPr>
        <w:t xml:space="preserve">立即更换G0/1端口故障光模块（已完成）</w:t>
      </w:r>
    </w:p>
    <w:p>
      <w:pPr>
        <w:spacing w:after="80" w:before="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1"/>
          <w:szCs w:val="21"/>
        </w:rPr>
        <w:t xml:space="preserve">对所有核心交换机端口光模块进行健康状态普查</w:t>
      </w:r>
    </w:p>
    <w:p>
      <w:pPr>
        <w:spacing w:after="80" w:before="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1"/>
          <w:szCs w:val="21"/>
        </w:rPr>
        <w:t xml:space="preserve">配置光模块光功率衰减趋势监控告警，阈值设为-5dBm</w:t>
      </w:r>
    </w:p>
    <w:p>
      <w:pPr>
        <w:spacing w:after="80" w:before="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1"/>
          <w:szCs w:val="21"/>
        </w:rPr>
        <w:t xml:space="preserve">建立备品备件库，确保关键模块有冗余库存</w:t>
      </w:r>
    </w:p>
    <w:p>
      <w:pPr>
        <w:pStyle w:val="Heading2"/>
        <w:spacing w:after="120" w:before="160"/>
      </w:pPr>
      <w:r>
        <w:rPr>
          <w:rFonts w:ascii="Microsoft YaHei" w:cs="Microsoft YaHei" w:eastAsia="Microsoft YaHei" w:hAnsi="Microsoft YaHei"/>
          <w:b/>
          <w:bCs/>
          <w:color w:val="000000"/>
          <w:sz w:val="24"/>
          <w:szCs w:val="24"/>
        </w:rPr>
        <w:t xml:space="preserve">6.3 预防措施</w:t>
      </w:r>
    </w:p>
    <w:p>
      <w:pPr>
        <w:spacing w:after="80" w:before="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1"/>
          <w:szCs w:val="21"/>
        </w:rPr>
        <w:t xml:space="preserve">将光模块健康检查纳入周度巡检项</w:t>
      </w:r>
    </w:p>
    <w:p>
      <w:pPr>
        <w:spacing w:after="80" w:before="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1"/>
          <w:szCs w:val="21"/>
        </w:rPr>
        <w:t xml:space="preserve">对超过3年服役期的光模块安排预防性更换计划</w:t>
      </w:r>
    </w:p>
    <w:p>
      <w:pPr>
        <w:spacing w:after="80" w:before="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1"/>
          <w:szCs w:val="21"/>
        </w:rPr>
        <w:t xml:space="preserve">优化告警策略：将端口流量突降阈值从50%调整为30%，提前预警</w:t>
      </w:r>
    </w:p>
    <w:sectPr>
      <w:headerReference w:type="default" r:id="rId7"/>
      <w:footerReference w:type="default" r:id="rId8"/>
      <w:pgSz w:w="11906" w:h="16838" w:orient="portrait"/>
      <w:pgMar w:top="1000" w:right="900" w:bottom="1000" w:left="900" w:header="450" w:footer="45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top w:val="nil" w:color="FFFFFF" w:sz="0"/>
        <w:left w:val="nil" w:color="FFFFFF" w:sz="0"/>
        <w:bottom w:val="nil" w:color="FFFFFF" w:sz="0"/>
        <w:right w:val="nil" w:color="FFFFFF" w:sz="0"/>
        <w:insideH w:val="nil" w:color="FFFFFF" w:sz="0"/>
        <w:insideV w:val="nil" w:color="FFFFFF" w:sz="0"/>
      </w:tblBorders>
    </w:tblPr>
    <w:tblGrid>
      <w:gridCol w:w="100"/>
      <w:gridCol w:w="100"/>
      <w:gridCol w:w="100"/>
    </w:tblGrid>
    <w:tr>
      <w:tc>
        <w:tcPr>
          <w:tcW w:type="pct" w:w="33%"/>
          <w:tcBorders>
            <w:top w:val="nil" w:color="FFFFFF" w:sz="0"/>
            <w:left w:val="nil" w:color="FFFFFF" w:sz="0"/>
            <w:bottom w:val="nil" w:color="FFFFFF" w:sz="0"/>
            <w:right w:val="nil" w:color="FFFFFF" w:sz="0"/>
          </w:tcBorders>
          <w:tcMar>
            <w:top w:type="dxa" w:w="0"/>
            <w:left w:type="dxa" w:w="80"/>
            <w:bottom w:type="dxa" w:w="0"/>
            <w:right w:type="dxa" w:w="80"/>
          </w:tcMar>
        </w:tcPr>
        <w:p>
          <w:pPr>
            <w:spacing w:after="0"/>
            <w:jc w:val="left"/>
          </w:pPr>
          <w:r>
            <w:rPr>
              <w:rFonts w:ascii="Microsoft YaHei" w:cs="Microsoft YaHei" w:eastAsia="Microsoft YaHei" w:hAnsi="Microsoft YaHei"/>
              <w:b w:val="false"/>
              <w:bCs w:val="false"/>
              <w:color w:val="000000"/>
              <w:sz w:val="18"/>
              <w:szCs w:val="18"/>
            </w:rPr>
            <w:t xml:space="preserve"/>
          </w:r>
        </w:p>
      </w:tc>
      <w:tc>
        <w:tcPr>
          <w:tcW w:type="pct" w:w="33%"/>
          <w:tcBorders>
            <w:top w:val="nil" w:color="FFFFFF" w:sz="0"/>
            <w:left w:val="nil" w:color="FFFFFF" w:sz="0"/>
            <w:bottom w:val="nil" w:color="FFFFFF" w:sz="0"/>
            <w:right w:val="nil" w:color="FFFFFF" w:sz="0"/>
          </w:tcBorders>
          <w:tcMar>
            <w:top w:type="dxa" w:w="0"/>
            <w:left w:type="dxa" w:w="80"/>
            <w:bottom w:type="dxa" w:w="0"/>
            <w:right w:type="dxa" w:w="80"/>
          </w:tcMar>
        </w:tcPr>
        <w:p>
          <w:pPr>
            <w:spacing w:after="0"/>
            <w:jc w:val="center"/>
          </w:pPr>
          <w:r>
            <w:rPr>
              <w:rFonts w:ascii="Microsoft YaHei" w:cs="Microsoft YaHei" w:eastAsia="Microsoft YaHei" w:hAnsi="Microsoft YaHei"/>
              <w:b w:val="false"/>
              <w:bCs w:val="false"/>
              <w:color w:val="000000"/>
              <w:sz w:val="18"/>
              <w:szCs w:val="18"/>
            </w:rPr>
            <w:t xml:space="preserve">第 </w:t>
          </w:r>
          <w:r>
            <w:rPr>
              <w:rFonts w:ascii="Microsoft YaHei" w:cs="Microsoft YaHei" w:eastAsia="Microsoft YaHei" w:hAnsi="Microsoft YaHei"/>
              <w:b w:val="false"/>
              <w:bCs w:val="false"/>
              <w:color w:val="000000"/>
              <w:sz w:val="18"/>
              <w:szCs w:val="18"/>
            </w:rPr>
            <w:fldChar w:fldCharType="begin"/>
            <w:instrText xml:space="preserve">PAGE</w:instrText>
            <w:fldChar w:fldCharType="separate"/>
            <w:fldChar w:fldCharType="end"/>
          </w:r>
          <w:r>
            <w:rPr>
              <w:rFonts w:ascii="Microsoft YaHei" w:cs="Microsoft YaHei" w:eastAsia="Microsoft YaHei" w:hAnsi="Microsoft YaHei"/>
              <w:b w:val="false"/>
              <w:bCs w:val="false"/>
              <w:color w:val="000000"/>
              <w:sz w:val="18"/>
              <w:szCs w:val="18"/>
            </w:rPr>
            <w:t xml:space="preserve"> 页 / 共 </w:t>
          </w:r>
          <w:r>
            <w:rPr>
              <w:rFonts w:ascii="Microsoft YaHei" w:cs="Microsoft YaHei" w:eastAsia="Microsoft YaHei" w:hAnsi="Microsoft YaHei"/>
              <w:b w:val="false"/>
              <w:bCs w:val="false"/>
              <w:color w:val="000000"/>
              <w:sz w:val="18"/>
              <w:szCs w:val="18"/>
            </w:rPr>
            <w:fldChar w:fldCharType="begin"/>
            <w:instrText xml:space="preserve">NUMPAGES</w:instrText>
            <w:fldChar w:fldCharType="separate"/>
            <w:fldChar w:fldCharType="end"/>
          </w:r>
          <w:r>
            <w:rPr>
              <w:rFonts w:ascii="Microsoft YaHei" w:cs="Microsoft YaHei" w:eastAsia="Microsoft YaHei" w:hAnsi="Microsoft YaHei"/>
              <w:b w:val="false"/>
              <w:bCs w:val="false"/>
              <w:color w:val="000000"/>
              <w:sz w:val="18"/>
              <w:szCs w:val="18"/>
            </w:rPr>
            <w:t xml:space="preserve"> 页</w:t>
          </w:r>
        </w:p>
      </w:tc>
      <w:tc>
        <w:tcPr>
          <w:tcW w:type="pct" w:w="33%"/>
          <w:tcBorders>
            <w:top w:val="nil" w:color="FFFFFF" w:sz="0"/>
            <w:left w:val="nil" w:color="FFFFFF" w:sz="0"/>
            <w:bottom w:val="nil" w:color="FFFFFF" w:sz="0"/>
            <w:right w:val="nil" w:color="FFFFFF" w:sz="0"/>
          </w:tcBorders>
          <w:tcMar>
            <w:top w:type="dxa" w:w="0"/>
            <w:left w:type="dxa" w:w="80"/>
            <w:bottom w:type="dxa" w:w="0"/>
            <w:right w:type="dxa" w:w="80"/>
          </w:tcMar>
        </w:tcPr>
        <w:p>
          <w:pPr>
            <w:spacing w:after="0"/>
            <w:jc w:val="right"/>
          </w:pPr>
          <w:r>
            <w:rPr>
              <w:rFonts w:ascii="Microsoft YaHei" w:cs="Microsoft YaHei" w:eastAsia="Microsoft YaHei" w:hAnsi="Microsoft YaHei"/>
              <w:b w:val="false"/>
              <w:bCs w:val="false"/>
              <w:color w:val="000000"/>
              <w:sz w:val="18"/>
              <w:szCs w:val="18"/>
            </w:rPr>
            <w:t xml:space="preserve">2026-06-22T06:36:51.965Z</w:t>
          </w:r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pct" w:w="100%"/>
      <w:tblBorders>
        <w:top w:val="nil" w:color="FFFFFF" w:sz="0"/>
        <w:left w:val="nil" w:color="FFFFFF" w:sz="0"/>
        <w:bottom w:val="nil" w:color="FFFFFF" w:sz="0"/>
        <w:right w:val="nil" w:color="FFFFFF" w:sz="0"/>
        <w:insideH w:val="nil" w:color="FFFFFF" w:sz="0"/>
        <w:insideV w:val="nil" w:color="FFFFFF" w:sz="0"/>
      </w:tblBorders>
    </w:tblPr>
    <w:tblGrid>
      <w:gridCol w:w="100"/>
      <w:gridCol w:w="100"/>
      <w:gridCol w:w="100"/>
    </w:tblGrid>
    <w:tr>
      <w:tc>
        <w:tcPr>
          <w:tcW w:type="pct" w:w="33%"/>
          <w:tcBorders>
            <w:top w:val="nil" w:color="FFFFFF" w:sz="0"/>
            <w:left w:val="nil" w:color="FFFFFF" w:sz="0"/>
            <w:bottom w:val="nil" w:color="FFFFFF" w:sz="0"/>
            <w:right w:val="nil" w:color="FFFFFF" w:sz="0"/>
          </w:tcBorders>
          <w:tcMar>
            <w:top w:type="dxa" w:w="0"/>
            <w:left w:type="dxa" w:w="80"/>
            <w:bottom w:type="dxa" w:w="0"/>
            <w:right w:type="dxa" w:w="80"/>
          </w:tcMar>
        </w:tcPr>
        <w:p>
          <w:pPr>
            <w:spacing w:after="0"/>
            <w:jc w:val="left"/>
          </w:pPr>
          <w:r>
            <w:drawing>
              <wp:inline distT="0" distB="0" distL="0" distR="0">
                <wp:extent cx="1047750" cy="238125"/>
                <wp:effectExtent t="0" r="0" b="0" l="0"/>
                <wp:docPr id="1" descr="网深科技流量分析系统" title="网深科技流量分析系统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47750" cy="2381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pct" w:w="33%"/>
          <w:tcBorders>
            <w:top w:val="nil" w:color="FFFFFF" w:sz="0"/>
            <w:left w:val="nil" w:color="FFFFFF" w:sz="0"/>
            <w:bottom w:val="nil" w:color="FFFFFF" w:sz="0"/>
            <w:right w:val="nil" w:color="FFFFFF" w:sz="0"/>
          </w:tcBorders>
          <w:tcMar>
            <w:top w:type="dxa" w:w="0"/>
            <w:left w:type="dxa" w:w="80"/>
            <w:bottom w:type="dxa" w:w="0"/>
            <w:right w:type="dxa" w:w="80"/>
          </w:tcMar>
        </w:tcPr>
        <w:p>
          <w:pPr>
            <w:spacing w:after="0"/>
            <w:jc w:val="center"/>
          </w:pPr>
          <w:r>
            <w:rPr>
              <w:rFonts w:ascii="Microsoft YaHei" w:cs="Microsoft YaHei" w:eastAsia="Microsoft YaHei" w:hAnsi="Microsoft YaHei"/>
              <w:b w:val="false"/>
              <w:bCs w:val="false"/>
              <w:color w:val="000000"/>
              <w:sz w:val="18"/>
              <w:szCs w:val="18"/>
            </w:rPr>
            <w:t xml:space="preserve"/>
          </w:r>
        </w:p>
      </w:tc>
      <w:tc>
        <w:tcPr>
          <w:tcW w:type="pct" w:w="33%"/>
          <w:tcBorders>
            <w:top w:val="nil" w:color="FFFFFF" w:sz="0"/>
            <w:left w:val="nil" w:color="FFFFFF" w:sz="0"/>
            <w:bottom w:val="nil" w:color="FFFFFF" w:sz="0"/>
            <w:right w:val="nil" w:color="FFFFFF" w:sz="0"/>
          </w:tcBorders>
          <w:tcMar>
            <w:top w:type="dxa" w:w="0"/>
            <w:left w:type="dxa" w:w="80"/>
            <w:bottom w:type="dxa" w:w="0"/>
            <w:right w:type="dxa" w:w="80"/>
          </w:tcMar>
        </w:tcPr>
        <w:p>
          <w:pPr>
            <w:spacing w:after="0"/>
            <w:jc w:val="right"/>
          </w:pPr>
          <w:r>
            <w:rPr>
              <w:rFonts w:ascii="Microsoft YaHei" w:cs="Microsoft YaHei" w:eastAsia="Microsoft YaHei" w:hAnsi="Microsoft YaHei"/>
              <w:b w:val="false"/>
              <w:bCs w:val="false"/>
              <w:color w:val="000000"/>
              <w:sz w:val="18"/>
              <w:szCs w:val="18"/>
            </w:rPr>
            <w:t xml:space="preserve">核心交换机G0-1端口流量突发中断</w:t>
          </w:r>
          <w:r>
            <w:rPr>
              <w:rFonts w:ascii="Microsoft YaHei" w:cs="Microsoft YaHei" w:eastAsia="Microsoft YaHei" w:hAnsi="Microsoft YaHei"/>
              <w:b w:val="false"/>
              <w:bCs w:val="false"/>
              <w:color w:val="000000"/>
              <w:sz w:val="18"/>
              <w:szCs w:val="18"/>
            </w:rPr>
            <w:t xml:space="preserve">故障分析报告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Heading1Char">
    <w:name w:val="Heading 1 Char"/>
    <w:link w:val="Heading1"/>
    <w:uiPriority w:val="9"/>
    <w:rPr>
      <w:rFonts w:ascii="Microsoft YaHei" w:eastAsia="Microsoft YaHei" w:hAnsi="Microsoft YaHei" w:cs="Microsoft YaHei"/>
      <w:b/>
      <w:color w:val="000000"/>
      <w:sz w:val="28"/>
    </w:rPr>
  </w:style>
  <w:style w:type="character" w:styleId="Heading2Char">
    <w:name w:val="Heading 2 Char"/>
    <w:link w:val="Heading2"/>
    <w:uiPriority w:val="9"/>
    <w:rPr>
      <w:rFonts w:ascii="Microsoft YaHei" w:eastAsia="Microsoft YaHei" w:hAnsi="Microsoft YaHei" w:cs="Microsoft YaHei"/>
      <w:b/>
      <w:color w:val="000000"/>
      <w:sz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ed692bd7fb9a76e8e7df406ce76c1fc6b909c177.png"/><Relationship Id="rId10" Type="http://schemas.openxmlformats.org/officeDocument/2006/relationships/image" Target="media/388c1c75f2da579ee6e8955baa7685b27d7a7fe3.png"/><Relationship Id="rId11" Type="http://schemas.openxmlformats.org/officeDocument/2006/relationships/image" Target="media/a42d271992798dd83bef8ca9e67e8657d49adf41.png"/><Relationship Id="rId12" Type="http://schemas.openxmlformats.org/officeDocument/2006/relationships/image" Target="media/6c913f5910b0504771ab777eb5add0654a165ce3.png"/><Relationship Id="rId13" Type="http://schemas.openxmlformats.org/officeDocument/2006/relationships/image" Target="media/877f9d7eae53c56625f7300584f4477347394bc8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91b32fcbc7fca954b351d5892ca8c1fbcce1eda9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核心交换机端口故障_故障分析报告</dc:title>
  <dc:creator>openclaw-napm-report</dc:creator>
  <dc:description>Generated by OpenClaw NAPM diagnostic report fixed template</dc:description>
  <cp:lastModifiedBy>Un-named</cp:lastModifiedBy>
  <cp:revision>1</cp:revision>
  <dcterms:created xsi:type="dcterms:W3CDTF">2026-06-22T06:37:24.256Z</dcterms:created>
  <dcterms:modified xsi:type="dcterms:W3CDTF">2026-06-22T06:37:24.256Z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