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sz w:val="32"/>
        </w:rPr>
        <w:t>A Comparative Study of Machine Learning Models for Heart Disease Prediction Using Grid Search and Random Search for Hyperparameter Tuning</w:t>
      </w:r>
    </w:p>
    <w:p>
      <w:pPr>
        <w:spacing w:after="360"/>
        <w:jc w:val="center"/>
      </w:pPr>
      <w:r>
        <w:rPr>
          <w:rFonts w:ascii="Times New Roman" w:hAnsi="Times New Roman"/>
          <w:i/>
          <w:sz w:val="22"/>
        </w:rPr>
        <w:t>Data Mining — Final Project Report</w:t>
      </w:r>
    </w:p>
    <w:p>
      <w:pPr>
        <w:spacing w:after="0"/>
        <w:jc w:val="center"/>
      </w:pPr>
      <w:r>
        <w:rPr>
          <w:rFonts w:ascii="Times New Roman" w:hAnsi="Times New Roman"/>
          <w:sz w:val="20"/>
        </w:rPr>
        <w:t>Gafna Al Faatiha Prabowo (23/516550/PA/22099)</w:t>
      </w:r>
    </w:p>
    <w:p>
      <w:pPr>
        <w:spacing w:after="0"/>
        <w:jc w:val="center"/>
      </w:pPr>
      <w:r>
        <w:rPr>
          <w:rFonts w:ascii="Times New Roman" w:hAnsi="Times New Roman"/>
          <w:sz w:val="20"/>
        </w:rPr>
        <w:t>Syafran Abdillah Erdin (23/521752/PA/22444)</w:t>
      </w:r>
    </w:p>
    <w:p>
      <w:pPr>
        <w:spacing w:after="0"/>
        <w:jc w:val="center"/>
      </w:pPr>
      <w:r>
        <w:rPr>
          <w:rFonts w:ascii="Times New Roman" w:hAnsi="Times New Roman"/>
          <w:sz w:val="20"/>
        </w:rPr>
        <w:t>Iqbal Pandu Santoso (23/517100/PA/22150)</w:t>
      </w:r>
    </w:p>
    <w:p>
      <w:pPr>
        <w:spacing w:after="0"/>
        <w:jc w:val="center"/>
      </w:pPr>
      <w:r>
        <w:rPr>
          <w:rFonts w:ascii="Times New Roman" w:hAnsi="Times New Roman"/>
          <w:sz w:val="20"/>
        </w:rPr>
        <w:t>Dzikran Azka Sajidan (23/516665/PA/22110)</w:t>
      </w:r>
    </w:p>
    <w:p>
      <w:pPr>
        <w:spacing w:before="240" w:after="80"/>
        <w:jc w:val="center"/>
      </w:pPr>
      <w:r>
        <w:rPr>
          <w:rFonts w:ascii="Times New Roman" w:hAnsi="Times New Roman"/>
          <w:i/>
          <w:sz w:val="18"/>
        </w:rPr>
        <w:t xml:space="preserve">Based on: Suman Arshad et al., </w:t>
      </w:r>
      <w:r>
        <w:rPr>
          <w:rFonts w:ascii="Times New Roman" w:hAnsi="Times New Roman"/>
          <w:i/>
          <w:sz w:val="18"/>
        </w:rPr>
        <w:t>Journal of Computing and Biomedical Informatics</w:t>
      </w:r>
    </w:p>
    <w:p>
      <w:pPr>
        <w:spacing w:after="360"/>
        <w:jc w:val="center"/>
      </w:pPr>
      <w:r>
        <w:rPr>
          <w:rFonts w:ascii="Times New Roman" w:hAnsi="Times New Roman"/>
          <w:i/>
          <w:sz w:val="18"/>
        </w:rPr>
        <w:t>Volume 08, Issue 01, 2024</w:t>
      </w:r>
    </w:p>
    <w:p>
      <w:pPr>
        <w:spacing w:before="240" w:after="120"/>
      </w:pPr>
      <w:r>
        <w:rPr>
          <w:rFonts w:ascii="Times New Roman" w:hAnsi="Times New Roman"/>
          <w:b/>
          <w:sz w:val="20"/>
        </w:rPr>
        <w:t>ABSTRACT</w:t>
      </w:r>
    </w:p>
    <w:p>
      <w:pPr>
        <w:spacing w:after="120" w:line="240" w:lineRule="auto"/>
      </w:pPr>
      <w:r>
        <w:rPr>
          <w:rFonts w:ascii="Times New Roman" w:hAnsi="Times New Roman"/>
          <w:sz w:val="20"/>
        </w:rPr>
        <w:t>Heart disease remains one of the leading causes of death worldwide, making early and accurate prediction critical for improving patient outcomes. This project explores the application of machine learning classification models for heart disease prediction using a comprehensive clinical dataset containing 1,190 records with 11 features. We implemented and evaluated six classifiers: Logistic Regression, K-Nearest Neighbors (KNN), Support Vector Machine (SVM), Random Forest, Gradient Boosting, and Stacking. The study was conducted in three phases: (1) a literature review summarizing the original research on hyperparameter tuning with Grid Search and Random Search, (2) a replication of the original methodology including baseline, Grid Search, and Random Search experiments, and (3) an improved modeling pipeline with more rigorous exploratory data analysis, data preprocessing (duplicate removal, invalid value recoding, median/most-frequent imputation, One-Hot Encoding, and RobustScaler), and Stratified 5-Fold Cross-Validation. Results from the improved pipeline show that Stacking achieved the highest cross-validation ROC-AUC of 0.9296, while KNN achieved the highest test ROC-AUC of 0.9448. Stacking and Random Forest demonstrated the most stable performance across CV and test sets, with minimal gap between the two evaluations.</w:t>
      </w:r>
    </w:p>
    <w:p>
      <w:pPr>
        <w:spacing w:after="120"/>
      </w:pPr>
      <w:r>
        <w:rPr>
          <w:rFonts w:ascii="Times New Roman" w:hAnsi="Times New Roman"/>
          <w:b/>
          <w:sz w:val="18"/>
        </w:rPr>
        <w:t xml:space="preserve">Keywords: </w:t>
      </w:r>
      <w:r>
        <w:rPr>
          <w:rFonts w:ascii="Times New Roman" w:hAnsi="Times New Roman"/>
          <w:i/>
          <w:sz w:val="18"/>
        </w:rPr>
        <w:t>Heart Disease Prediction, Machine Learning, Hyperparameter Tuning, Grid Search, Random Search, Cross-Validation, Ensemble Methods</w:t>
      </w:r>
    </w:p>
    <w:p>
      <w:pPr>
        <w:spacing w:before="240" w:after="120"/>
      </w:pPr>
      <w:r>
        <w:rPr>
          <w:rFonts w:ascii="Times New Roman" w:hAnsi="Times New Roman"/>
          <w:b/>
          <w:sz w:val="20"/>
        </w:rPr>
        <w:t>1. INTRODUCTION</w:t>
      </w:r>
    </w:p>
    <w:p>
      <w:pPr>
        <w:spacing w:after="80" w:line="240" w:lineRule="auto"/>
        <w:ind w:firstLine="720"/>
      </w:pPr>
      <w:r>
        <w:rPr>
          <w:rFonts w:ascii="Times New Roman" w:hAnsi="Times New Roman"/>
          <w:sz w:val="20"/>
        </w:rPr>
        <w:t>Heart disease is the leading cause of death globally, accounting for approximately 17.9 million deaths annually according to the World Health Organization. Early detection of heart disease is essential to enable timely medical intervention and improve patient outcomes. Traditional diagnostic methods, such as electrocardiograms and cardiac imaging, while effective, can be expensive and resource-intensive, particularly in regions with limited healthcare access.</w:t>
      </w:r>
    </w:p>
    <w:p>
      <w:pPr>
        <w:spacing w:after="80" w:line="240" w:lineRule="auto"/>
        <w:ind w:firstLine="720"/>
      </w:pPr>
      <w:r>
        <w:rPr>
          <w:rFonts w:ascii="Times New Roman" w:hAnsi="Times New Roman"/>
          <w:sz w:val="20"/>
        </w:rPr>
        <w:t>Machine learning has emerged as a powerful tool for predicting heart disease by analyzing patient data including demographics, clinical measurements, and risk factors. Algorithms such as Logistic Regression, Support Vector Machines, and ensemble methods like Random Forest and Gradient Boosting have been widely studied for this purpose. Research has demonstrated that ensemble methods often outperform individual classifiers by combining the strengths of multiple models, reducing both bias and variance.</w:t>
      </w:r>
    </w:p>
    <w:p>
      <w:pPr>
        <w:spacing w:after="80" w:line="240" w:lineRule="auto"/>
        <w:ind w:firstLine="720"/>
      </w:pPr>
      <w:r>
        <w:rPr>
          <w:rFonts w:ascii="Times New Roman" w:hAnsi="Times New Roman"/>
          <w:sz w:val="20"/>
        </w:rPr>
        <w:t>A key factor in model performance is hyperparameter tuning. Grid Search exhaustively evaluates all possible parameter combinations within a predefined search space, guaranteeing the optimal configuration but at significant computational cost. Random Search, in contrast, samples parameter combinations randomly and has been shown to find near-optimal solutions more efficiently, especially when only a subset of parameters significantly affects performance.</w:t>
      </w:r>
    </w:p>
    <w:p>
      <w:pPr>
        <w:spacing w:after="80" w:line="240" w:lineRule="auto"/>
        <w:ind w:firstLine="720"/>
      </w:pPr>
      <w:r>
        <w:rPr>
          <w:rFonts w:ascii="Times New Roman" w:hAnsi="Times New Roman"/>
          <w:sz w:val="20"/>
        </w:rPr>
        <w:t>This project was conducted in three phases. Task 1 involved a comprehensive literature review and summary of the original research paper by Arshad et al. (2024), which compared six machine learning classifiers for heart disease prediction using Grid Search and Random Search. Task 2 replicated the methodology described in the paper, implementing baseline, Grid Search, and Random Search experiments on the same dataset. Task 3 improved upon the original methodology by conducting a more thorough exploratory data analysis, implementing data cleaning and preprocessing based on domain knowledge, and evaluating models using Stratified 5-Fold Cross-Validation with comparison against held-out test data.</w:t>
      </w:r>
    </w:p>
    <w:p>
      <w:pPr>
        <w:spacing w:after="80" w:line="240" w:lineRule="auto"/>
        <w:ind w:firstLine="720"/>
      </w:pPr>
      <w:r>
        <w:rPr>
          <w:rFonts w:ascii="Times New Roman" w:hAnsi="Times New Roman"/>
          <w:sz w:val="20"/>
        </w:rPr>
        <w:t>This report synthesizes the findings from all three phases, presenting the complete experimental workflow from literature review through replication to improved methodology, and provides a comprehensive analysis of the results.</w:t>
      </w:r>
    </w:p>
    <w:p>
      <w:pPr>
        <w:spacing w:before="240" w:after="120"/>
      </w:pPr>
      <w:r>
        <w:rPr>
          <w:rFonts w:ascii="Times New Roman" w:hAnsi="Times New Roman"/>
          <w:b/>
          <w:sz w:val="20"/>
        </w:rPr>
        <w:t>2. RELATED WORK</w:t>
      </w:r>
    </w:p>
    <w:p>
      <w:pPr>
        <w:spacing w:after="80" w:line="240" w:lineRule="auto"/>
        <w:ind w:firstLine="720"/>
      </w:pPr>
      <w:r>
        <w:rPr>
          <w:rFonts w:ascii="Times New Roman" w:hAnsi="Times New Roman"/>
          <w:sz w:val="20"/>
        </w:rPr>
        <w:t>The application of machine learning to heart disease prediction has been extensively studied. Arshad et al. (2024) conducted a comparative study of six machine learning models (Logistic Regression, KNN, SVM, Random Forest, Gradient Boosting, and Stacking) using the Heart Statlog Cleveland-Hungary dataset. Their work evaluated both Grid Search and Random Search for hyperparameter tuning and found that Random Forest achieved the highest accuracy of 94.95% with Grid Search and 94.54% with Random Search. The study used seven evaluation metrics: accuracy, precision, recall, F1 score, AUC, Cohen's Kappa, and MCC.</w:t>
      </w:r>
    </w:p>
    <w:p>
      <w:pPr>
        <w:spacing w:after="80" w:line="240" w:lineRule="auto"/>
        <w:ind w:firstLine="720"/>
      </w:pPr>
      <w:r>
        <w:rPr>
          <w:rFonts w:ascii="Times New Roman" w:hAnsi="Times New Roman"/>
          <w:sz w:val="20"/>
        </w:rPr>
        <w:t>Mienye and Jere (2024) proposed an optimized ensemble learning approach with explainable AI for heart disease prediction, demonstrating that Bayesian-optimized ensembles combined with SHAP explainability can achieve strong predictive performance while maintaining interpretability. Al-Alshaikh et al. (2024) conducted a comprehensive evaluation of machine learning techniques for heart disease prediction, combining genetic algorithm-based feature selection with adaptive optimization and cross-validation. Khan et al. (2024) introduced ensemble and blending-based deep learning architectures for cardiovascular disease detection using 10-fold cross-validation, further confirming the strength of ensemble approaches.</w:t>
      </w:r>
    </w:p>
    <w:p>
      <w:pPr>
        <w:spacing w:after="80" w:line="240" w:lineRule="auto"/>
        <w:ind w:firstLine="720"/>
      </w:pPr>
      <w:r>
        <w:rPr>
          <w:rFonts w:ascii="Times New Roman" w:hAnsi="Times New Roman"/>
          <w:sz w:val="20"/>
        </w:rPr>
        <w:t>The importance of data preprocessing and rigorous evaluation in medical machine learning has been well-documented. Pfob et al. (2022) provided a practical guide covering data preprocessing pipelines, nested cross-validation to avoid information leakage, and hyperparameter tuning strategies for medical ML applications. Salet et al. (2024) demonstrated the value of temporal cross-validation for heart disease prediction in primary care settings using Random Forest models on over 13,000 patients, highlighting the importance of evaluation methodology beyond a single train-test split.</w:t>
      </w:r>
    </w:p>
    <w:p>
      <w:pPr>
        <w:spacing w:after="80" w:line="240" w:lineRule="auto"/>
        <w:ind w:firstLine="720"/>
      </w:pPr>
      <w:r>
        <w:rPr>
          <w:rFonts w:ascii="Times New Roman" w:hAnsi="Times New Roman"/>
          <w:sz w:val="20"/>
        </w:rPr>
        <w:t>Despite the growing body of research, there remains a gap in studies that combine rigorous data preprocessing, multiple evaluation strategies (cross-validation and hold-out test), and comprehensive metric analysis specifically for heart disease prediction. This project addresses that gap by building upon the methodology of Arshad et al. (2024) with improvements in data quality assurance and evaluation reliability.</w:t>
      </w:r>
    </w:p>
    <w:p>
      <w:pPr>
        <w:spacing w:before="240" w:after="120"/>
      </w:pPr>
      <w:r>
        <w:rPr>
          <w:rFonts w:ascii="Times New Roman" w:hAnsi="Times New Roman"/>
          <w:b/>
          <w:sz w:val="20"/>
        </w:rPr>
        <w:t>3. METHODOLOGY</w:t>
      </w:r>
    </w:p>
    <w:p>
      <w:pPr>
        <w:spacing w:before="160" w:after="120"/>
      </w:pPr>
      <w:r>
        <w:rPr>
          <w:rFonts w:ascii="Times New Roman" w:hAnsi="Times New Roman"/>
          <w:b/>
          <w:sz w:val="20"/>
        </w:rPr>
        <w:t>3.1. Dataset</w:t>
      </w:r>
    </w:p>
    <w:p>
      <w:pPr>
        <w:spacing w:after="80" w:line="240" w:lineRule="auto"/>
        <w:ind w:firstLine="720"/>
      </w:pPr>
      <w:r>
        <w:rPr>
          <w:rFonts w:ascii="Times New Roman" w:hAnsi="Times New Roman"/>
          <w:sz w:val="20"/>
        </w:rPr>
        <w:t>The dataset used in this study is the Heart Disease Dataset (Comprehensive), sourced from Kaggle. This is the same dataset used in the original paper by Arshad et al. (2024), ensuring comparability of results. The dataset was collected from multiple clinical sources including the Cleveland, Hungary, and Switzerland heart disease databases.</w:t>
      </w:r>
    </w:p>
    <w:p>
      <w:pPr>
        <w:spacing w:after="80" w:line="240" w:lineRule="auto"/>
        <w:ind w:firstLine="720"/>
      </w:pPr>
      <w:r>
        <w:rPr>
          <w:rFonts w:ascii="Times New Roman" w:hAnsi="Times New Roman"/>
          <w:sz w:val="20"/>
        </w:rPr>
        <w:t>The dataset initially contains 1,190 observations with 12 columns: 11 features and 1 binary target variable. The target variable indicates the presence (1) or absence (0) of heart disease. The features can be categorized into two types:</w:t>
      </w:r>
    </w:p>
    <w:p>
      <w:pPr>
        <w:spacing w:after="40" w:line="240" w:lineRule="auto"/>
      </w:pPr>
      <w:r>
        <w:rPr>
          <w:rFonts w:ascii="Times New Roman" w:hAnsi="Times New Roman"/>
          <w:sz w:val="18"/>
        </w:rPr>
        <w:t>Table 1. Dataset Features Description</w:t>
      </w:r>
    </w:p>
    <w:p>
      <w:pPr>
        <w:jc w:val="center"/>
      </w:pPr>
      <w:r>
        <w:rPr>
          <w:rFonts w:ascii="Times New Roman" w:hAnsi="Times New Roman"/>
          <w:b/>
          <w:sz w:val="18"/>
        </w:rPr>
        <w:t>Table 1. Dataset Features Description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tcPr>
          <w:p>
            <w:pPr>
              <w:jc w:val="center"/>
            </w:pPr>
            <w:r/>
            <w:r>
              <w:rPr>
                <w:rFonts w:ascii="Times New Roman" w:hAnsi="Times New Roman"/>
                <w:b/>
                <w:sz w:val="18"/>
              </w:rPr>
              <w:t>Feature</w:t>
            </w:r>
          </w:p>
        </w:tc>
        <w:tc>
          <w:tcPr>
            <w:tcW w:type="dxa" w:w="3230"/>
            <w:shd w:fill="D9D9D9"/>
          </w:tcPr>
          <w:p>
            <w:pPr>
              <w:jc w:val="center"/>
            </w:pPr>
            <w:r/>
            <w:r>
              <w:rPr>
                <w:rFonts w:ascii="Times New Roman" w:hAnsi="Times New Roman"/>
                <w:b/>
                <w:sz w:val="18"/>
              </w:rPr>
              <w:t>Type</w:t>
            </w:r>
          </w:p>
        </w:tc>
        <w:tc>
          <w:tcPr>
            <w:tcW w:type="dxa" w:w="3230"/>
            <w:shd w:fill="D9D9D9"/>
          </w:tcPr>
          <w:p>
            <w:pPr>
              <w:jc w:val="center"/>
            </w:pPr>
            <w:r/>
            <w:r>
              <w:rPr>
                <w:rFonts w:ascii="Times New Roman" w:hAnsi="Times New Roman"/>
                <w:b/>
                <w:sz w:val="18"/>
              </w:rPr>
              <w:t>Representation</w:t>
            </w:r>
          </w:p>
        </w:tc>
      </w:tr>
      <w:tr>
        <w:tc>
          <w:tcPr>
            <w:tcW w:type="dxa" w:w="3230"/>
          </w:tcPr>
          <w:p>
            <w:pPr>
              <w:jc w:val="center"/>
            </w:pPr>
            <w:r/>
            <w:r>
              <w:rPr>
                <w:rFonts w:ascii="Times New Roman" w:hAnsi="Times New Roman"/>
                <w:sz w:val="18"/>
              </w:rPr>
              <w:t>age</w:t>
            </w:r>
          </w:p>
        </w:tc>
        <w:tc>
          <w:tcPr>
            <w:tcW w:type="dxa" w:w="3230"/>
          </w:tcPr>
          <w:p>
            <w:pPr>
              <w:jc w:val="center"/>
            </w:pPr>
            <w:r/>
            <w:r>
              <w:rPr>
                <w:rFonts w:ascii="Times New Roman" w:hAnsi="Times New Roman"/>
                <w:sz w:val="18"/>
              </w:rPr>
              <w:t>Numerical</w:t>
            </w:r>
          </w:p>
        </w:tc>
        <w:tc>
          <w:tcPr>
            <w:tcW w:type="dxa" w:w="3230"/>
          </w:tcPr>
          <w:p>
            <w:pPr>
              <w:jc w:val="center"/>
            </w:pPr>
            <w:r/>
            <w:r>
              <w:rPr>
                <w:rFonts w:ascii="Times New Roman" w:hAnsi="Times New Roman"/>
                <w:sz w:val="18"/>
              </w:rPr>
              <w:t>Patient age (years)</w:t>
            </w:r>
          </w:p>
        </w:tc>
      </w:tr>
      <w:tr>
        <w:tc>
          <w:tcPr>
            <w:tcW w:type="dxa" w:w="3230"/>
            <w:shd w:fill="F2F2F2"/>
          </w:tcPr>
          <w:p>
            <w:pPr>
              <w:jc w:val="center"/>
            </w:pPr>
            <w:r/>
            <w:r>
              <w:rPr>
                <w:rFonts w:ascii="Times New Roman" w:hAnsi="Times New Roman"/>
                <w:sz w:val="18"/>
              </w:rPr>
              <w:t>sex</w:t>
            </w:r>
          </w:p>
        </w:tc>
        <w:tc>
          <w:tcPr>
            <w:tcW w:type="dxa" w:w="3230"/>
            <w:shd w:fill="F2F2F2"/>
          </w:tcPr>
          <w:p>
            <w:pPr>
              <w:jc w:val="center"/>
            </w:pPr>
            <w:r/>
            <w:r>
              <w:rPr>
                <w:rFonts w:ascii="Times New Roman" w:hAnsi="Times New Roman"/>
                <w:sz w:val="18"/>
              </w:rPr>
              <w:t>Binary</w:t>
            </w:r>
          </w:p>
        </w:tc>
        <w:tc>
          <w:tcPr>
            <w:tcW w:type="dxa" w:w="3230"/>
            <w:shd w:fill="F2F2F2"/>
          </w:tcPr>
          <w:p>
            <w:pPr>
              <w:jc w:val="center"/>
            </w:pPr>
            <w:r/>
            <w:r>
              <w:rPr>
                <w:rFonts w:ascii="Times New Roman" w:hAnsi="Times New Roman"/>
                <w:sz w:val="18"/>
              </w:rPr>
              <w:t>1 = Male, 0 = Female</w:t>
            </w:r>
          </w:p>
        </w:tc>
      </w:tr>
      <w:tr>
        <w:tc>
          <w:tcPr>
            <w:tcW w:type="dxa" w:w="3230"/>
          </w:tcPr>
          <w:p>
            <w:pPr>
              <w:jc w:val="center"/>
            </w:pPr>
            <w:r/>
            <w:r>
              <w:rPr>
                <w:rFonts w:ascii="Times New Roman" w:hAnsi="Times New Roman"/>
                <w:sz w:val="18"/>
              </w:rPr>
              <w:t>chest pain type</w:t>
            </w:r>
          </w:p>
        </w:tc>
        <w:tc>
          <w:tcPr>
            <w:tcW w:type="dxa" w:w="3230"/>
          </w:tcPr>
          <w:p>
            <w:pPr>
              <w:jc w:val="center"/>
            </w:pPr>
            <w:r/>
            <w:r>
              <w:rPr>
                <w:rFonts w:ascii="Times New Roman" w:hAnsi="Times New Roman"/>
                <w:sz w:val="18"/>
              </w:rPr>
              <w:t>Categorical</w:t>
            </w:r>
          </w:p>
        </w:tc>
        <w:tc>
          <w:tcPr>
            <w:tcW w:type="dxa" w:w="3230"/>
          </w:tcPr>
          <w:p>
            <w:pPr>
              <w:jc w:val="center"/>
            </w:pPr>
            <w:r/>
            <w:r>
              <w:rPr>
                <w:rFonts w:ascii="Times New Roman" w:hAnsi="Times New Roman"/>
                <w:sz w:val="18"/>
              </w:rPr>
              <w:t>1–4 (encoded)</w:t>
            </w:r>
          </w:p>
        </w:tc>
      </w:tr>
      <w:tr>
        <w:tc>
          <w:tcPr>
            <w:tcW w:type="dxa" w:w="3230"/>
            <w:shd w:fill="F2F2F2"/>
          </w:tcPr>
          <w:p>
            <w:pPr>
              <w:jc w:val="center"/>
            </w:pPr>
            <w:r/>
            <w:r>
              <w:rPr>
                <w:rFonts w:ascii="Times New Roman" w:hAnsi="Times New Roman"/>
                <w:sz w:val="18"/>
              </w:rPr>
              <w:t>resting bp s</w:t>
            </w:r>
          </w:p>
        </w:tc>
        <w:tc>
          <w:tcPr>
            <w:tcW w:type="dxa" w:w="3230"/>
            <w:shd w:fill="F2F2F2"/>
          </w:tcPr>
          <w:p>
            <w:pPr>
              <w:jc w:val="center"/>
            </w:pPr>
            <w:r/>
            <w:r>
              <w:rPr>
                <w:rFonts w:ascii="Times New Roman" w:hAnsi="Times New Roman"/>
                <w:sz w:val="18"/>
              </w:rPr>
              <w:t>Numerical</w:t>
            </w:r>
          </w:p>
        </w:tc>
        <w:tc>
          <w:tcPr>
            <w:tcW w:type="dxa" w:w="3230"/>
            <w:shd w:fill="F2F2F2"/>
          </w:tcPr>
          <w:p>
            <w:pPr>
              <w:jc w:val="center"/>
            </w:pPr>
            <w:r/>
            <w:r>
              <w:rPr>
                <w:rFonts w:ascii="Times New Roman" w:hAnsi="Times New Roman"/>
                <w:sz w:val="18"/>
              </w:rPr>
              <w:t>Resting blood pressure (mm Hg)</w:t>
            </w:r>
          </w:p>
        </w:tc>
      </w:tr>
      <w:tr>
        <w:tc>
          <w:tcPr>
            <w:tcW w:type="dxa" w:w="3230"/>
          </w:tcPr>
          <w:p>
            <w:pPr>
              <w:jc w:val="center"/>
            </w:pPr>
            <w:r/>
            <w:r>
              <w:rPr>
                <w:rFonts w:ascii="Times New Roman" w:hAnsi="Times New Roman"/>
                <w:sz w:val="18"/>
              </w:rPr>
              <w:t>cholesterol</w:t>
            </w:r>
          </w:p>
        </w:tc>
        <w:tc>
          <w:tcPr>
            <w:tcW w:type="dxa" w:w="3230"/>
          </w:tcPr>
          <w:p>
            <w:pPr>
              <w:jc w:val="center"/>
            </w:pPr>
            <w:r/>
            <w:r>
              <w:rPr>
                <w:rFonts w:ascii="Times New Roman" w:hAnsi="Times New Roman"/>
                <w:sz w:val="18"/>
              </w:rPr>
              <w:t>Numerical</w:t>
            </w:r>
          </w:p>
        </w:tc>
        <w:tc>
          <w:tcPr>
            <w:tcW w:type="dxa" w:w="3230"/>
          </w:tcPr>
          <w:p>
            <w:pPr>
              <w:jc w:val="center"/>
            </w:pPr>
            <w:r/>
            <w:r>
              <w:rPr>
                <w:rFonts w:ascii="Times New Roman" w:hAnsi="Times New Roman"/>
                <w:sz w:val="18"/>
              </w:rPr>
              <w:t>Serum cholesterol (mg/dl)</w:t>
            </w:r>
          </w:p>
        </w:tc>
      </w:tr>
      <w:tr>
        <w:tc>
          <w:tcPr>
            <w:tcW w:type="dxa" w:w="3230"/>
            <w:shd w:fill="F2F2F2"/>
          </w:tcPr>
          <w:p>
            <w:pPr>
              <w:jc w:val="center"/>
            </w:pPr>
            <w:r/>
            <w:r>
              <w:rPr>
                <w:rFonts w:ascii="Times New Roman" w:hAnsi="Times New Roman"/>
                <w:sz w:val="18"/>
              </w:rPr>
              <w:t>fasting blood sugar</w:t>
            </w:r>
          </w:p>
        </w:tc>
        <w:tc>
          <w:tcPr>
            <w:tcW w:type="dxa" w:w="3230"/>
            <w:shd w:fill="F2F2F2"/>
          </w:tcPr>
          <w:p>
            <w:pPr>
              <w:jc w:val="center"/>
            </w:pPr>
            <w:r/>
            <w:r>
              <w:rPr>
                <w:rFonts w:ascii="Times New Roman" w:hAnsi="Times New Roman"/>
                <w:sz w:val="18"/>
              </w:rPr>
              <w:t>Binary</w:t>
            </w:r>
          </w:p>
        </w:tc>
        <w:tc>
          <w:tcPr>
            <w:tcW w:type="dxa" w:w="3230"/>
            <w:shd w:fill="F2F2F2"/>
          </w:tcPr>
          <w:p>
            <w:pPr>
              <w:jc w:val="center"/>
            </w:pPr>
            <w:r/>
            <w:r>
              <w:rPr>
                <w:rFonts w:ascii="Times New Roman" w:hAnsi="Times New Roman"/>
                <w:sz w:val="18"/>
              </w:rPr>
              <w:t>1 = &gt;120 mg/dl, 0 = otherwise</w:t>
            </w:r>
          </w:p>
        </w:tc>
      </w:tr>
      <w:tr>
        <w:tc>
          <w:tcPr>
            <w:tcW w:type="dxa" w:w="3230"/>
          </w:tcPr>
          <w:p>
            <w:pPr>
              <w:jc w:val="center"/>
            </w:pPr>
            <w:r/>
            <w:r>
              <w:rPr>
                <w:rFonts w:ascii="Times New Roman" w:hAnsi="Times New Roman"/>
                <w:sz w:val="18"/>
              </w:rPr>
              <w:t>resting ecg</w:t>
            </w:r>
          </w:p>
        </w:tc>
        <w:tc>
          <w:tcPr>
            <w:tcW w:type="dxa" w:w="3230"/>
          </w:tcPr>
          <w:p>
            <w:pPr>
              <w:jc w:val="center"/>
            </w:pPr>
            <w:r/>
            <w:r>
              <w:rPr>
                <w:rFonts w:ascii="Times New Roman" w:hAnsi="Times New Roman"/>
                <w:sz w:val="18"/>
              </w:rPr>
              <w:t>Categorical</w:t>
            </w:r>
          </w:p>
        </w:tc>
        <w:tc>
          <w:tcPr>
            <w:tcW w:type="dxa" w:w="3230"/>
          </w:tcPr>
          <w:p>
            <w:pPr>
              <w:jc w:val="center"/>
            </w:pPr>
            <w:r/>
            <w:r>
              <w:rPr>
                <w:rFonts w:ascii="Times New Roman" w:hAnsi="Times New Roman"/>
                <w:sz w:val="18"/>
              </w:rPr>
              <w:t>0–2 (encoded)</w:t>
            </w:r>
          </w:p>
        </w:tc>
      </w:tr>
      <w:tr>
        <w:tc>
          <w:tcPr>
            <w:tcW w:type="dxa" w:w="3230"/>
            <w:shd w:fill="F2F2F2"/>
          </w:tcPr>
          <w:p>
            <w:pPr>
              <w:jc w:val="center"/>
            </w:pPr>
            <w:r/>
            <w:r>
              <w:rPr>
                <w:rFonts w:ascii="Times New Roman" w:hAnsi="Times New Roman"/>
                <w:sz w:val="18"/>
              </w:rPr>
              <w:t>max heart rate</w:t>
            </w:r>
          </w:p>
        </w:tc>
        <w:tc>
          <w:tcPr>
            <w:tcW w:type="dxa" w:w="3230"/>
            <w:shd w:fill="F2F2F2"/>
          </w:tcPr>
          <w:p>
            <w:pPr>
              <w:jc w:val="center"/>
            </w:pPr>
            <w:r/>
            <w:r>
              <w:rPr>
                <w:rFonts w:ascii="Times New Roman" w:hAnsi="Times New Roman"/>
                <w:sz w:val="18"/>
              </w:rPr>
              <w:t>Numerical</w:t>
            </w:r>
          </w:p>
        </w:tc>
        <w:tc>
          <w:tcPr>
            <w:tcW w:type="dxa" w:w="3230"/>
            <w:shd w:fill="F2F2F2"/>
          </w:tcPr>
          <w:p>
            <w:pPr>
              <w:jc w:val="center"/>
            </w:pPr>
            <w:r/>
            <w:r>
              <w:rPr>
                <w:rFonts w:ascii="Times New Roman" w:hAnsi="Times New Roman"/>
                <w:sz w:val="18"/>
              </w:rPr>
              <w:t>Maximum heart rate achieved</w:t>
            </w:r>
          </w:p>
        </w:tc>
      </w:tr>
      <w:tr>
        <w:tc>
          <w:tcPr>
            <w:tcW w:type="dxa" w:w="3230"/>
          </w:tcPr>
          <w:p>
            <w:pPr>
              <w:jc w:val="center"/>
            </w:pPr>
            <w:r/>
            <w:r>
              <w:rPr>
                <w:rFonts w:ascii="Times New Roman" w:hAnsi="Times New Roman"/>
                <w:sz w:val="18"/>
              </w:rPr>
              <w:t>exercise angina</w:t>
            </w:r>
          </w:p>
        </w:tc>
        <w:tc>
          <w:tcPr>
            <w:tcW w:type="dxa" w:w="3230"/>
          </w:tcPr>
          <w:p>
            <w:pPr>
              <w:jc w:val="center"/>
            </w:pPr>
            <w:r/>
            <w:r>
              <w:rPr>
                <w:rFonts w:ascii="Times New Roman" w:hAnsi="Times New Roman"/>
                <w:sz w:val="18"/>
              </w:rPr>
              <w:t>Binary</w:t>
            </w:r>
          </w:p>
        </w:tc>
        <w:tc>
          <w:tcPr>
            <w:tcW w:type="dxa" w:w="3230"/>
          </w:tcPr>
          <w:p>
            <w:pPr>
              <w:jc w:val="center"/>
            </w:pPr>
            <w:r/>
            <w:r>
              <w:rPr>
                <w:rFonts w:ascii="Times New Roman" w:hAnsi="Times New Roman"/>
                <w:sz w:val="18"/>
              </w:rPr>
              <w:t>1 = Yes, 0 = No</w:t>
            </w:r>
          </w:p>
        </w:tc>
      </w:tr>
      <w:tr>
        <w:tc>
          <w:tcPr>
            <w:tcW w:type="dxa" w:w="3230"/>
            <w:shd w:fill="F2F2F2"/>
          </w:tcPr>
          <w:p>
            <w:pPr>
              <w:jc w:val="center"/>
            </w:pPr>
            <w:r/>
            <w:r>
              <w:rPr>
                <w:rFonts w:ascii="Times New Roman" w:hAnsi="Times New Roman"/>
                <w:sz w:val="18"/>
              </w:rPr>
              <w:t>oldpeak</w:t>
            </w:r>
          </w:p>
        </w:tc>
        <w:tc>
          <w:tcPr>
            <w:tcW w:type="dxa" w:w="3230"/>
            <w:shd w:fill="F2F2F2"/>
          </w:tcPr>
          <w:p>
            <w:pPr>
              <w:jc w:val="center"/>
            </w:pPr>
            <w:r/>
            <w:r>
              <w:rPr>
                <w:rFonts w:ascii="Times New Roman" w:hAnsi="Times New Roman"/>
                <w:sz w:val="18"/>
              </w:rPr>
              <w:t>Numerical</w:t>
            </w:r>
          </w:p>
        </w:tc>
        <w:tc>
          <w:tcPr>
            <w:tcW w:type="dxa" w:w="3230"/>
            <w:shd w:fill="F2F2F2"/>
          </w:tcPr>
          <w:p>
            <w:pPr>
              <w:jc w:val="center"/>
            </w:pPr>
            <w:r/>
            <w:r>
              <w:rPr>
                <w:rFonts w:ascii="Times New Roman" w:hAnsi="Times New Roman"/>
                <w:sz w:val="18"/>
              </w:rPr>
              <w:t>ST depression</w:t>
            </w:r>
          </w:p>
        </w:tc>
      </w:tr>
      <w:tr>
        <w:tc>
          <w:tcPr>
            <w:tcW w:type="dxa" w:w="3230"/>
          </w:tcPr>
          <w:p>
            <w:pPr>
              <w:jc w:val="center"/>
            </w:pPr>
            <w:r/>
            <w:r>
              <w:rPr>
                <w:rFonts w:ascii="Times New Roman" w:hAnsi="Times New Roman"/>
                <w:sz w:val="18"/>
              </w:rPr>
              <w:t>ST slope</w:t>
            </w:r>
          </w:p>
        </w:tc>
        <w:tc>
          <w:tcPr>
            <w:tcW w:type="dxa" w:w="3230"/>
          </w:tcPr>
          <w:p>
            <w:pPr>
              <w:jc w:val="center"/>
            </w:pPr>
            <w:r/>
            <w:r>
              <w:rPr>
                <w:rFonts w:ascii="Times New Roman" w:hAnsi="Times New Roman"/>
                <w:sz w:val="18"/>
              </w:rPr>
              <w:t>Categorical</w:t>
            </w:r>
          </w:p>
        </w:tc>
        <w:tc>
          <w:tcPr>
            <w:tcW w:type="dxa" w:w="3230"/>
          </w:tcPr>
          <w:p>
            <w:pPr>
              <w:jc w:val="center"/>
            </w:pPr>
            <w:r/>
            <w:r>
              <w:rPr>
                <w:rFonts w:ascii="Times New Roman" w:hAnsi="Times New Roman"/>
                <w:sz w:val="18"/>
              </w:rPr>
              <w:t>Encoded values</w:t>
            </w:r>
          </w:p>
        </w:tc>
      </w:tr>
    </w:tbl>
    <w:p/>
    <w:p>
      <w:pPr>
        <w:spacing w:before="160" w:after="120"/>
      </w:pPr>
      <w:r>
        <w:rPr>
          <w:rFonts w:ascii="Times New Roman" w:hAnsi="Times New Roman"/>
          <w:b/>
          <w:sz w:val="20"/>
        </w:rPr>
        <w:t>3.2. Data Preprocessing</w:t>
      </w:r>
    </w:p>
    <w:p>
      <w:pPr>
        <w:spacing w:after="80" w:line="240" w:lineRule="auto"/>
        <w:ind w:firstLine="720"/>
      </w:pPr>
      <w:r>
        <w:rPr>
          <w:rFonts w:ascii="Times New Roman" w:hAnsi="Times New Roman"/>
          <w:sz w:val="20"/>
        </w:rPr>
        <w:t>The improved preprocessing pipeline in Task 3 was designed based on findings from exploratory data analysis (EDA). The following steps were applied sequentially:</w:t>
      </w:r>
    </w:p>
    <w:p>
      <w:pPr>
        <w:spacing w:after="80" w:line="240" w:lineRule="auto"/>
        <w:ind w:firstLine="720"/>
      </w:pPr>
      <w:r>
        <w:rPr>
          <w:rFonts w:ascii="Times New Roman" w:hAnsi="Times New Roman"/>
          <w:sz w:val="20"/>
        </w:rPr>
        <w:t>Duplicate removal: 272 duplicate rows (22.86% of data) were identified and removed, reducing the dataset from 1,190 to 918 records. This step ensures that models are not biased by repeated observations.</w:t>
      </w:r>
    </w:p>
    <w:p>
      <w:pPr>
        <w:spacing w:after="80" w:line="240" w:lineRule="auto"/>
        <w:ind w:firstLine="720"/>
      </w:pPr>
      <w:r>
        <w:rPr>
          <w:rFonts w:ascii="Times New Roman" w:hAnsi="Times New Roman"/>
          <w:sz w:val="20"/>
        </w:rPr>
        <w:t>Invalid value recoding: Although the dataset contained no explicit missing values (NaN), EDA revealed medically implausible values: cholesterol = 0 in 172 rows (14.45%), resting blood pressure = 0 in 1 row, and ST slope = 0 in 1 row. These were recoded as missing values prior to imputation.</w:t>
      </w:r>
    </w:p>
    <w:p>
      <w:pPr>
        <w:spacing w:after="80" w:line="240" w:lineRule="auto"/>
        <w:ind w:firstLine="720"/>
      </w:pPr>
      <w:r>
        <w:rPr>
          <w:rFonts w:ascii="Times New Roman" w:hAnsi="Times New Roman"/>
          <w:sz w:val="20"/>
        </w:rPr>
        <w:t>Train-test split: Data was split into training (734 records) and test (184 records) sets using stratified sampling to maintain class balance.</w:t>
      </w:r>
    </w:p>
    <w:p>
      <w:pPr>
        <w:spacing w:after="80" w:line="240" w:lineRule="auto"/>
        <w:ind w:firstLine="720"/>
      </w:pPr>
      <w:r>
        <w:rPr>
          <w:rFonts w:ascii="Times New Roman" w:hAnsi="Times New Roman"/>
          <w:sz w:val="20"/>
        </w:rPr>
        <w:t>Missing value imputation: Numerical features were imputed with the median (more robust to outliers), while categorical features were imputed with the most frequent value.</w:t>
      </w:r>
    </w:p>
    <w:p>
      <w:pPr>
        <w:spacing w:after="80" w:line="240" w:lineRule="auto"/>
        <w:ind w:firstLine="720"/>
      </w:pPr>
      <w:r>
        <w:rPr>
          <w:rFonts w:ascii="Times New Roman" w:hAnsi="Times New Roman"/>
          <w:sz w:val="20"/>
        </w:rPr>
        <w:t>Feature encoding: Categorical features were transformed using One-Hot Encoding to properly represent their non-ordinal nature.</w:t>
      </w:r>
    </w:p>
    <w:p>
      <w:pPr>
        <w:spacing w:after="80" w:line="240" w:lineRule="auto"/>
        <w:ind w:firstLine="720"/>
      </w:pPr>
      <w:r>
        <w:rPr>
          <w:rFonts w:ascii="Times New Roman" w:hAnsi="Times New Roman"/>
          <w:sz w:val="20"/>
        </w:rPr>
        <w:t>Feature scaling: Numerical features were scaled using RobustScaler, which uses median and interquartile range, making it less sensitive to outliers than StandardScaler.</w:t>
      </w:r>
    </w:p>
    <w:p>
      <w:pPr>
        <w:spacing w:before="160" w:after="120"/>
      </w:pPr>
      <w:r>
        <w:rPr>
          <w:rFonts w:ascii="Times New Roman" w:hAnsi="Times New Roman"/>
          <w:b/>
          <w:sz w:val="20"/>
        </w:rPr>
        <w:t>3.3. Classification Models</w:t>
      </w:r>
    </w:p>
    <w:p>
      <w:pPr>
        <w:spacing w:after="80" w:line="240" w:lineRule="auto"/>
        <w:ind w:firstLine="720"/>
      </w:pPr>
      <w:r>
        <w:rPr>
          <w:rFonts w:ascii="Times New Roman" w:hAnsi="Times New Roman"/>
          <w:sz w:val="20"/>
        </w:rPr>
        <w:t>Six machine learning classifiers were evaluated, consistent with the original paper. Each model was configured with specific hyperparameters based on preliminary experimentation:</w:t>
      </w:r>
    </w:p>
    <w:p>
      <w:pPr>
        <w:spacing w:after="40" w:line="240" w:lineRule="auto"/>
      </w:pPr>
      <w:r>
        <w:rPr>
          <w:rFonts w:ascii="Times New Roman" w:hAnsi="Times New Roman"/>
          <w:sz w:val="18"/>
        </w:rPr>
        <w:t>Table 2. Model Configurations</w:t>
      </w:r>
    </w:p>
    <w:p>
      <w:pPr>
        <w:jc w:val="center"/>
      </w:pPr>
      <w:r>
        <w:rPr>
          <w:rFonts w:ascii="Times New Roman" w:hAnsi="Times New Roman"/>
          <w:b/>
          <w:sz w:val="18"/>
        </w:rPr>
        <w:t>Table 2. Model Configurations</w:t>
      </w:r>
    </w:p>
    <w:tbl>
      <w:tblPr>
        <w:tblStyle w:val="TableGrid"/>
        <w:tblW w:type="auto" w:w="0"/>
        <w:jc w:val="center"/>
        <w:tblLook w:firstColumn="1" w:firstRow="1" w:lastColumn="0" w:lastRow="0" w:noHBand="0" w:noVBand="1" w:val="04A0"/>
      </w:tblPr>
      <w:tblGrid>
        <w:gridCol w:w="4844"/>
        <w:gridCol w:w="4844"/>
      </w:tblGrid>
      <w:tr>
        <w:tc>
          <w:tcPr>
            <w:tcW w:type="dxa" w:w="4844"/>
            <w:shd w:fill="D9D9D9"/>
          </w:tcPr>
          <w:p>
            <w:pPr>
              <w:jc w:val="center"/>
            </w:pPr>
            <w:r/>
            <w:r>
              <w:rPr>
                <w:rFonts w:ascii="Times New Roman" w:hAnsi="Times New Roman"/>
                <w:b/>
                <w:sz w:val="18"/>
              </w:rPr>
              <w:t>Model</w:t>
            </w:r>
          </w:p>
        </w:tc>
        <w:tc>
          <w:tcPr>
            <w:tcW w:type="dxa" w:w="4844"/>
            <w:shd w:fill="D9D9D9"/>
          </w:tcPr>
          <w:p>
            <w:pPr>
              <w:jc w:val="center"/>
            </w:pPr>
            <w:r/>
            <w:r>
              <w:rPr>
                <w:rFonts w:ascii="Times New Roman" w:hAnsi="Times New Roman"/>
                <w:b/>
                <w:sz w:val="18"/>
              </w:rPr>
              <w:t>Key Configuration</w:t>
            </w:r>
          </w:p>
        </w:tc>
      </w:tr>
      <w:tr>
        <w:tc>
          <w:tcPr>
            <w:tcW w:type="dxa" w:w="4844"/>
          </w:tcPr>
          <w:p>
            <w:pPr>
              <w:jc w:val="center"/>
            </w:pPr>
            <w:r/>
            <w:r>
              <w:rPr>
                <w:rFonts w:ascii="Times New Roman" w:hAnsi="Times New Roman"/>
                <w:sz w:val="18"/>
              </w:rPr>
              <w:t>Logistic Regression</w:t>
            </w:r>
          </w:p>
        </w:tc>
        <w:tc>
          <w:tcPr>
            <w:tcW w:type="dxa" w:w="4844"/>
          </w:tcPr>
          <w:p>
            <w:pPr>
              <w:jc w:val="center"/>
            </w:pPr>
            <w:r/>
            <w:r>
              <w:rPr>
                <w:rFonts w:ascii="Times New Roman" w:hAnsi="Times New Roman"/>
                <w:sz w:val="18"/>
              </w:rPr>
              <w:t>max_iter=3000, class_weight=balanced</w:t>
            </w:r>
          </w:p>
        </w:tc>
      </w:tr>
      <w:tr>
        <w:tc>
          <w:tcPr>
            <w:tcW w:type="dxa" w:w="4844"/>
            <w:shd w:fill="F2F2F2"/>
          </w:tcPr>
          <w:p>
            <w:pPr>
              <w:jc w:val="center"/>
            </w:pPr>
            <w:r/>
            <w:r>
              <w:rPr>
                <w:rFonts w:ascii="Times New Roman" w:hAnsi="Times New Roman"/>
                <w:sz w:val="18"/>
              </w:rPr>
              <w:t>KNN</w:t>
            </w:r>
          </w:p>
        </w:tc>
        <w:tc>
          <w:tcPr>
            <w:tcW w:type="dxa" w:w="4844"/>
            <w:shd w:fill="F2F2F2"/>
          </w:tcPr>
          <w:p>
            <w:pPr>
              <w:jc w:val="center"/>
            </w:pPr>
            <w:r/>
            <w:r>
              <w:rPr>
                <w:rFonts w:ascii="Times New Roman" w:hAnsi="Times New Roman"/>
                <w:sz w:val="18"/>
              </w:rPr>
              <w:t>n_neighbors=11, weights=distance</w:t>
            </w:r>
          </w:p>
        </w:tc>
      </w:tr>
      <w:tr>
        <w:tc>
          <w:tcPr>
            <w:tcW w:type="dxa" w:w="4844"/>
          </w:tcPr>
          <w:p>
            <w:pPr>
              <w:jc w:val="center"/>
            </w:pPr>
            <w:r/>
            <w:r>
              <w:rPr>
                <w:rFonts w:ascii="Times New Roman" w:hAnsi="Times New Roman"/>
                <w:sz w:val="18"/>
              </w:rPr>
              <w:t>SVM (RBF)</w:t>
            </w:r>
          </w:p>
        </w:tc>
        <w:tc>
          <w:tcPr>
            <w:tcW w:type="dxa" w:w="4844"/>
          </w:tcPr>
          <w:p>
            <w:pPr>
              <w:jc w:val="center"/>
            </w:pPr>
            <w:r/>
            <w:r>
              <w:rPr>
                <w:rFonts w:ascii="Times New Roman" w:hAnsi="Times New Roman"/>
                <w:sz w:val="18"/>
              </w:rPr>
              <w:t>C=10, kernel=rbf, probability=True, class_weight=balanced</w:t>
            </w:r>
          </w:p>
        </w:tc>
      </w:tr>
      <w:tr>
        <w:tc>
          <w:tcPr>
            <w:tcW w:type="dxa" w:w="4844"/>
            <w:shd w:fill="F2F2F2"/>
          </w:tcPr>
          <w:p>
            <w:pPr>
              <w:jc w:val="center"/>
            </w:pPr>
            <w:r/>
            <w:r>
              <w:rPr>
                <w:rFonts w:ascii="Times New Roman" w:hAnsi="Times New Roman"/>
                <w:sz w:val="18"/>
              </w:rPr>
              <w:t>Random Forest</w:t>
            </w:r>
          </w:p>
        </w:tc>
        <w:tc>
          <w:tcPr>
            <w:tcW w:type="dxa" w:w="4844"/>
            <w:shd w:fill="F2F2F2"/>
          </w:tcPr>
          <w:p>
            <w:pPr>
              <w:jc w:val="center"/>
            </w:pPr>
            <w:r/>
            <w:r>
              <w:rPr>
                <w:rFonts w:ascii="Times New Roman" w:hAnsi="Times New Roman"/>
                <w:sz w:val="18"/>
              </w:rPr>
              <w:t>n_estimators=300, class_weight=balanced</w:t>
            </w:r>
          </w:p>
        </w:tc>
      </w:tr>
      <w:tr>
        <w:tc>
          <w:tcPr>
            <w:tcW w:type="dxa" w:w="4844"/>
          </w:tcPr>
          <w:p>
            <w:pPr>
              <w:jc w:val="center"/>
            </w:pPr>
            <w:r/>
            <w:r>
              <w:rPr>
                <w:rFonts w:ascii="Times New Roman" w:hAnsi="Times New Roman"/>
                <w:sz w:val="18"/>
              </w:rPr>
              <w:t>Gradient Boosting</w:t>
            </w:r>
          </w:p>
        </w:tc>
        <w:tc>
          <w:tcPr>
            <w:tcW w:type="dxa" w:w="4844"/>
          </w:tcPr>
          <w:p>
            <w:pPr>
              <w:jc w:val="center"/>
            </w:pPr>
            <w:r/>
            <w:r>
              <w:rPr>
                <w:rFonts w:ascii="Times New Roman" w:hAnsi="Times New Roman"/>
                <w:sz w:val="18"/>
              </w:rPr>
              <w:t>Default configuration, random_state=42</w:t>
            </w:r>
          </w:p>
        </w:tc>
      </w:tr>
      <w:tr>
        <w:tc>
          <w:tcPr>
            <w:tcW w:type="dxa" w:w="4844"/>
            <w:shd w:fill="F2F2F2"/>
          </w:tcPr>
          <w:p>
            <w:pPr>
              <w:jc w:val="center"/>
            </w:pPr>
            <w:r/>
            <w:r>
              <w:rPr>
                <w:rFonts w:ascii="Times New Roman" w:hAnsi="Times New Roman"/>
                <w:sz w:val="18"/>
              </w:rPr>
              <w:t>Stacking</w:t>
            </w:r>
          </w:p>
        </w:tc>
        <w:tc>
          <w:tcPr>
            <w:tcW w:type="dxa" w:w="4844"/>
            <w:shd w:fill="F2F2F2"/>
          </w:tcPr>
          <w:p>
            <w:pPr>
              <w:jc w:val="center"/>
            </w:pPr>
            <w:r/>
            <w:r>
              <w:rPr>
                <w:rFonts w:ascii="Times New Roman" w:hAnsi="Times New Roman"/>
                <w:sz w:val="18"/>
              </w:rPr>
              <w:t>Base: LR, RF, GB; Final: LR; internal CV=5</w:t>
            </w:r>
          </w:p>
        </w:tc>
      </w:tr>
    </w:tbl>
    <w:p/>
    <w:p>
      <w:pPr>
        <w:spacing w:after="80" w:line="240" w:lineRule="auto"/>
        <w:ind w:firstLine="720"/>
      </w:pPr>
      <w:r>
        <w:rPr>
          <w:rFonts w:ascii="Times New Roman" w:hAnsi="Times New Roman"/>
          <w:sz w:val="20"/>
        </w:rPr>
        <w:t>Logistic Regression serves as a linear baseline, providing probabilistic predictions through a logistic function. KNN classifies instances based on the majority class among the k nearest neighbors using distance weighting. SVM with RBF kernel maps data into higher-dimensional space to handle non-linear decision boundaries. Random Forest builds an ensemble of decision trees, each trained on a random subset of features and data, then aggregates their predictions through majority voting. Gradient Boosting sequentially builds an ensemble where each new tree corrects the errors of the previous ones. Stacking combines multiple base classifiers (Logistic Regression, Random Forest, and Gradient Boosting) and uses Logistic Regression as a meta-classifier to learn the optimal combination of their predictions.</w:t>
      </w:r>
    </w:p>
    <w:p>
      <w:pPr>
        <w:spacing w:before="160" w:after="120"/>
      </w:pPr>
      <w:r>
        <w:rPr>
          <w:rFonts w:ascii="Times New Roman" w:hAnsi="Times New Roman"/>
          <w:b/>
          <w:sz w:val="20"/>
        </w:rPr>
        <w:t>3.4. Experiment Scenarios</w:t>
      </w:r>
    </w:p>
    <w:p>
      <w:pPr>
        <w:spacing w:after="80" w:line="240" w:lineRule="auto"/>
        <w:ind w:firstLine="720"/>
      </w:pPr>
      <w:r>
        <w:rPr>
          <w:rFonts w:ascii="Times New Roman" w:hAnsi="Times New Roman"/>
          <w:sz w:val="20"/>
        </w:rPr>
        <w:t>The project was conducted in three phases with distinct experimental scenarios:</w:t>
      </w:r>
    </w:p>
    <w:p>
      <w:pPr>
        <w:spacing w:after="80" w:line="240" w:lineRule="auto"/>
        <w:ind w:firstLine="720"/>
      </w:pPr>
      <w:r>
        <w:rPr>
          <w:rFonts w:ascii="Times New Roman" w:hAnsi="Times New Roman"/>
          <w:sz w:val="20"/>
        </w:rPr>
        <w:t>Task 2 (Replication): Three scenarios were implemented following the original paper. (1) Baseline: models trained with default hyperparameters. (2) Grid Search: exhaustive search over a predefined hyperparameter grid using 5-Fold Cross-Validation. (3) Random Search: randomized hyperparameter sampling with maximum 10 iterations and 5-Fold CV. Stacking was only evaluated in the Grid Search scenario.</w:t>
      </w:r>
    </w:p>
    <w:p>
      <w:pPr>
        <w:spacing w:after="80" w:line="240" w:lineRule="auto"/>
        <w:ind w:firstLine="720"/>
      </w:pPr>
      <w:r>
        <w:rPr>
          <w:rFonts w:ascii="Times New Roman" w:hAnsi="Times New Roman"/>
          <w:sz w:val="20"/>
        </w:rPr>
        <w:t>Task 3 (Improvement): A single but more rigorous evaluation scenario. All models were embedded in a preprocessing pipeline that chains imputation, encoding, scaling, and classification. Models were evaluated using Stratified 5-Fold Cross-Validation on the training set, followed by evaluation on the held-out test set. The gap between CV and test performance was analyzed to assess model stability.</w:t>
      </w:r>
    </w:p>
    <w:p>
      <w:pPr>
        <w:spacing w:before="160" w:after="120"/>
      </w:pPr>
      <w:r>
        <w:rPr>
          <w:rFonts w:ascii="Times New Roman" w:hAnsi="Times New Roman"/>
          <w:b/>
          <w:sz w:val="20"/>
        </w:rPr>
        <w:t>3.5. Evaluation Metrics</w:t>
      </w:r>
    </w:p>
    <w:p>
      <w:pPr>
        <w:spacing w:after="80" w:line="240" w:lineRule="auto"/>
        <w:ind w:firstLine="720"/>
      </w:pPr>
      <w:r>
        <w:rPr>
          <w:rFonts w:ascii="Times New Roman" w:hAnsi="Times New Roman"/>
          <w:sz w:val="20"/>
        </w:rPr>
        <w:t>Seven evaluation metrics were used to provide a comprehensive assessment of model performance. In the medical diagnosis context, accuracy alone is insufficient because it can be misleading on imbalanced datasets. Therefore, the following metrics were used: Accuracy (overall correctness), Precision (minimizing false positives), Recall/Sensitivity (minimizing false negatives), F1 Score (harmonic mean of precision and recall), ROC-AUC (discrimination ability across thresholds), Cohen's Kappa (agreement adjusted for chance), and Matthews Correlation Coefficient (balanced measure for binary classification).</w:t>
      </w:r>
    </w:p>
    <w:p>
      <w:pPr>
        <w:spacing w:before="240" w:after="120"/>
      </w:pPr>
      <w:r>
        <w:rPr>
          <w:rFonts w:ascii="Times New Roman" w:hAnsi="Times New Roman"/>
          <w:b/>
          <w:sz w:val="20"/>
        </w:rPr>
        <w:t>4. RESULTS AND DISCUSSION</w:t>
      </w:r>
    </w:p>
    <w:p>
      <w:pPr>
        <w:spacing w:before="160" w:after="120"/>
      </w:pPr>
      <w:r>
        <w:rPr>
          <w:rFonts w:ascii="Times New Roman" w:hAnsi="Times New Roman"/>
          <w:b/>
          <w:sz w:val="20"/>
        </w:rPr>
        <w:t>4.1. Replication Results (Task 2)</w:t>
      </w:r>
    </w:p>
    <w:p>
      <w:pPr>
        <w:spacing w:after="80" w:line="240" w:lineRule="auto"/>
        <w:ind w:firstLine="720"/>
      </w:pPr>
      <w:r>
        <w:rPr>
          <w:rFonts w:ascii="Times New Roman" w:hAnsi="Times New Roman"/>
          <w:sz w:val="20"/>
        </w:rPr>
        <w:t>Task 2 successfully replicated the methodology of the original paper. All three experiment scenarios (baseline, Grid Search, and Random Search) were executed, and ensemble methods (Random Forest, Gradient Boosting, and Stacking) consistently outperformed individual classifiers. Hyperparameter tuning through both Grid Search and Random Search improved model performance compared to baseline. The gap between Grid Search and Random Search results was minimal, confirming that Random Search offers a computationally efficient alternative without significant performance loss.</w:t>
      </w:r>
    </w:p>
    <w:p>
      <w:pPr>
        <w:spacing w:before="160" w:after="120"/>
      </w:pPr>
      <w:r>
        <w:rPr>
          <w:rFonts w:ascii="Times New Roman" w:hAnsi="Times New Roman"/>
          <w:b/>
          <w:sz w:val="20"/>
        </w:rPr>
        <w:t>4.2. Cross-Validation Results (Task 3)</w:t>
      </w:r>
    </w:p>
    <w:p>
      <w:pPr>
        <w:spacing w:after="80" w:line="240" w:lineRule="auto"/>
        <w:ind w:firstLine="720"/>
      </w:pPr>
      <w:r>
        <w:rPr>
          <w:rFonts w:ascii="Times New Roman" w:hAnsi="Times New Roman"/>
          <w:sz w:val="20"/>
        </w:rPr>
        <w:t>Table 3 presents the cross-validation results from the improved pipeline. All models were evaluated using Stratified 5-Fold CV on the training set after thorough preprocessing.</w:t>
      </w:r>
    </w:p>
    <w:p>
      <w:pPr>
        <w:jc w:val="center"/>
      </w:pPr>
      <w:r>
        <w:rPr>
          <w:rFonts w:ascii="Times New Roman" w:hAnsi="Times New Roman"/>
          <w:b/>
          <w:sz w:val="18"/>
        </w:rPr>
        <w:t>Table 3. Cross-Validation Results (Stratified 5-Fold)</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fill="D9D9D9"/>
          </w:tcPr>
          <w:p>
            <w:pPr>
              <w:jc w:val="center"/>
            </w:pPr>
            <w:r/>
            <w:r>
              <w:rPr>
                <w:rFonts w:ascii="Times New Roman" w:hAnsi="Times New Roman"/>
                <w:b/>
                <w:sz w:val="18"/>
              </w:rPr>
              <w:t>Model</w:t>
            </w:r>
          </w:p>
        </w:tc>
        <w:tc>
          <w:tcPr>
            <w:tcW w:type="dxa" w:w="1211"/>
            <w:shd w:fill="D9D9D9"/>
          </w:tcPr>
          <w:p>
            <w:pPr>
              <w:jc w:val="center"/>
            </w:pPr>
            <w:r/>
            <w:r>
              <w:rPr>
                <w:rFonts w:ascii="Times New Roman" w:hAnsi="Times New Roman"/>
                <w:b/>
                <w:sz w:val="18"/>
              </w:rPr>
              <w:t>Accuracy</w:t>
            </w:r>
          </w:p>
        </w:tc>
        <w:tc>
          <w:tcPr>
            <w:tcW w:type="dxa" w:w="1211"/>
            <w:shd w:fill="D9D9D9"/>
          </w:tcPr>
          <w:p>
            <w:pPr>
              <w:jc w:val="center"/>
            </w:pPr>
            <w:r/>
            <w:r>
              <w:rPr>
                <w:rFonts w:ascii="Times New Roman" w:hAnsi="Times New Roman"/>
                <w:b/>
                <w:sz w:val="18"/>
              </w:rPr>
              <w:t>Precision</w:t>
            </w:r>
          </w:p>
        </w:tc>
        <w:tc>
          <w:tcPr>
            <w:tcW w:type="dxa" w:w="1211"/>
            <w:shd w:fill="D9D9D9"/>
          </w:tcPr>
          <w:p>
            <w:pPr>
              <w:jc w:val="center"/>
            </w:pPr>
            <w:r/>
            <w:r>
              <w:rPr>
                <w:rFonts w:ascii="Times New Roman" w:hAnsi="Times New Roman"/>
                <w:b/>
                <w:sz w:val="18"/>
              </w:rPr>
              <w:t>Recall</w:t>
            </w:r>
          </w:p>
        </w:tc>
        <w:tc>
          <w:tcPr>
            <w:tcW w:type="dxa" w:w="1211"/>
            <w:shd w:fill="D9D9D9"/>
          </w:tcPr>
          <w:p>
            <w:pPr>
              <w:jc w:val="center"/>
            </w:pPr>
            <w:r/>
            <w:r>
              <w:rPr>
                <w:rFonts w:ascii="Times New Roman" w:hAnsi="Times New Roman"/>
                <w:b/>
                <w:sz w:val="18"/>
              </w:rPr>
              <w:t>F1</w:t>
            </w:r>
          </w:p>
        </w:tc>
        <w:tc>
          <w:tcPr>
            <w:tcW w:type="dxa" w:w="1211"/>
            <w:shd w:fill="D9D9D9"/>
          </w:tcPr>
          <w:p>
            <w:pPr>
              <w:jc w:val="center"/>
            </w:pPr>
            <w:r/>
            <w:r>
              <w:rPr>
                <w:rFonts w:ascii="Times New Roman" w:hAnsi="Times New Roman"/>
                <w:b/>
                <w:sz w:val="18"/>
              </w:rPr>
              <w:t>ROC-AUC</w:t>
            </w:r>
          </w:p>
        </w:tc>
        <w:tc>
          <w:tcPr>
            <w:tcW w:type="dxa" w:w="1211"/>
            <w:shd w:fill="D9D9D9"/>
          </w:tcPr>
          <w:p>
            <w:pPr>
              <w:jc w:val="center"/>
            </w:pPr>
            <w:r/>
            <w:r>
              <w:rPr>
                <w:rFonts w:ascii="Times New Roman" w:hAnsi="Times New Roman"/>
                <w:b/>
                <w:sz w:val="18"/>
              </w:rPr>
              <w:t>Kappa</w:t>
            </w:r>
          </w:p>
        </w:tc>
        <w:tc>
          <w:tcPr>
            <w:tcW w:type="dxa" w:w="1211"/>
            <w:shd w:fill="D9D9D9"/>
          </w:tcPr>
          <w:p>
            <w:pPr>
              <w:jc w:val="center"/>
            </w:pPr>
            <w:r/>
            <w:r>
              <w:rPr>
                <w:rFonts w:ascii="Times New Roman" w:hAnsi="Times New Roman"/>
                <w:b/>
                <w:sz w:val="18"/>
              </w:rPr>
              <w:t>MCC</w:t>
            </w:r>
          </w:p>
        </w:tc>
      </w:tr>
      <w:tr>
        <w:tc>
          <w:tcPr>
            <w:tcW w:type="dxa" w:w="1211"/>
          </w:tcPr>
          <w:p>
            <w:pPr>
              <w:jc w:val="center"/>
            </w:pPr>
            <w:r/>
            <w:r>
              <w:rPr>
                <w:rFonts w:ascii="Times New Roman" w:hAnsi="Times New Roman"/>
                <w:sz w:val="18"/>
              </w:rPr>
              <w:t>Stacking</w:t>
            </w:r>
          </w:p>
        </w:tc>
        <w:tc>
          <w:tcPr>
            <w:tcW w:type="dxa" w:w="1211"/>
          </w:tcPr>
          <w:p>
            <w:pPr>
              <w:jc w:val="center"/>
            </w:pPr>
            <w:r/>
            <w:r>
              <w:rPr>
                <w:rFonts w:ascii="Times New Roman" w:hAnsi="Times New Roman"/>
                <w:sz w:val="18"/>
              </w:rPr>
              <w:t>0.8583</w:t>
            </w:r>
          </w:p>
        </w:tc>
        <w:tc>
          <w:tcPr>
            <w:tcW w:type="dxa" w:w="1211"/>
          </w:tcPr>
          <w:p>
            <w:pPr>
              <w:jc w:val="center"/>
            </w:pPr>
            <w:r/>
            <w:r>
              <w:rPr>
                <w:rFonts w:ascii="Times New Roman" w:hAnsi="Times New Roman"/>
                <w:sz w:val="18"/>
              </w:rPr>
              <w:t>0.8654</w:t>
            </w:r>
          </w:p>
        </w:tc>
        <w:tc>
          <w:tcPr>
            <w:tcW w:type="dxa" w:w="1211"/>
          </w:tcPr>
          <w:p>
            <w:pPr>
              <w:jc w:val="center"/>
            </w:pPr>
            <w:r/>
            <w:r>
              <w:rPr>
                <w:rFonts w:ascii="Times New Roman" w:hAnsi="Times New Roman"/>
                <w:sz w:val="18"/>
              </w:rPr>
              <w:t>0.8843</w:t>
            </w:r>
          </w:p>
        </w:tc>
        <w:tc>
          <w:tcPr>
            <w:tcW w:type="dxa" w:w="1211"/>
          </w:tcPr>
          <w:p>
            <w:pPr>
              <w:jc w:val="center"/>
            </w:pPr>
            <w:r/>
            <w:r>
              <w:rPr>
                <w:rFonts w:ascii="Times New Roman" w:hAnsi="Times New Roman"/>
                <w:sz w:val="18"/>
              </w:rPr>
              <w:t>0.8737</w:t>
            </w:r>
          </w:p>
        </w:tc>
        <w:tc>
          <w:tcPr>
            <w:tcW w:type="dxa" w:w="1211"/>
          </w:tcPr>
          <w:p>
            <w:pPr>
              <w:jc w:val="center"/>
            </w:pPr>
            <w:r/>
            <w:r>
              <w:rPr>
                <w:rFonts w:ascii="Times New Roman" w:hAnsi="Times New Roman"/>
                <w:sz w:val="18"/>
              </w:rPr>
              <w:t>0.9296</w:t>
            </w:r>
          </w:p>
        </w:tc>
        <w:tc>
          <w:tcPr>
            <w:tcW w:type="dxa" w:w="1211"/>
          </w:tcPr>
          <w:p>
            <w:pPr>
              <w:jc w:val="center"/>
            </w:pPr>
            <w:r/>
            <w:r>
              <w:rPr>
                <w:rFonts w:ascii="Times New Roman" w:hAnsi="Times New Roman"/>
                <w:sz w:val="18"/>
              </w:rPr>
              <w:t>0.7124</w:t>
            </w:r>
          </w:p>
        </w:tc>
        <w:tc>
          <w:tcPr>
            <w:tcW w:type="dxa" w:w="1211"/>
          </w:tcPr>
          <w:p>
            <w:pPr>
              <w:jc w:val="center"/>
            </w:pPr>
            <w:r/>
            <w:r>
              <w:rPr>
                <w:rFonts w:ascii="Times New Roman" w:hAnsi="Times New Roman"/>
                <w:sz w:val="18"/>
              </w:rPr>
              <w:t>0.7149</w:t>
            </w:r>
          </w:p>
        </w:tc>
      </w:tr>
      <w:tr>
        <w:tc>
          <w:tcPr>
            <w:tcW w:type="dxa" w:w="1211"/>
            <w:shd w:fill="F2F2F2"/>
          </w:tcPr>
          <w:p>
            <w:pPr>
              <w:jc w:val="center"/>
            </w:pPr>
            <w:r/>
            <w:r>
              <w:rPr>
                <w:rFonts w:ascii="Times New Roman" w:hAnsi="Times New Roman"/>
                <w:sz w:val="18"/>
              </w:rPr>
              <w:t>Random Forest</w:t>
            </w:r>
          </w:p>
        </w:tc>
        <w:tc>
          <w:tcPr>
            <w:tcW w:type="dxa" w:w="1211"/>
            <w:shd w:fill="F2F2F2"/>
          </w:tcPr>
          <w:p>
            <w:pPr>
              <w:jc w:val="center"/>
            </w:pPr>
            <w:r/>
            <w:r>
              <w:rPr>
                <w:rFonts w:ascii="Times New Roman" w:hAnsi="Times New Roman"/>
                <w:sz w:val="18"/>
              </w:rPr>
              <w:t>0.8556</w:t>
            </w:r>
          </w:p>
        </w:tc>
        <w:tc>
          <w:tcPr>
            <w:tcW w:type="dxa" w:w="1211"/>
            <w:shd w:fill="F2F2F2"/>
          </w:tcPr>
          <w:p>
            <w:pPr>
              <w:jc w:val="center"/>
            </w:pPr>
            <w:r/>
            <w:r>
              <w:rPr>
                <w:rFonts w:ascii="Times New Roman" w:hAnsi="Times New Roman"/>
                <w:sz w:val="18"/>
              </w:rPr>
              <w:t>0.8547</w:t>
            </w:r>
          </w:p>
        </w:tc>
        <w:tc>
          <w:tcPr>
            <w:tcW w:type="dxa" w:w="1211"/>
            <w:shd w:fill="F2F2F2"/>
          </w:tcPr>
          <w:p>
            <w:pPr>
              <w:jc w:val="center"/>
            </w:pPr>
            <w:r/>
            <w:r>
              <w:rPr>
                <w:rFonts w:ascii="Times New Roman" w:hAnsi="Times New Roman"/>
                <w:sz w:val="18"/>
              </w:rPr>
              <w:t>0.8966</w:t>
            </w:r>
          </w:p>
        </w:tc>
        <w:tc>
          <w:tcPr>
            <w:tcW w:type="dxa" w:w="1211"/>
            <w:shd w:fill="F2F2F2"/>
          </w:tcPr>
          <w:p>
            <w:pPr>
              <w:jc w:val="center"/>
            </w:pPr>
            <w:r/>
            <w:r>
              <w:rPr>
                <w:rFonts w:ascii="Times New Roman" w:hAnsi="Times New Roman"/>
                <w:sz w:val="18"/>
              </w:rPr>
              <w:t>0.8736</w:t>
            </w:r>
          </w:p>
        </w:tc>
        <w:tc>
          <w:tcPr>
            <w:tcW w:type="dxa" w:w="1211"/>
            <w:shd w:fill="F2F2F2"/>
          </w:tcPr>
          <w:p>
            <w:pPr>
              <w:jc w:val="center"/>
            </w:pPr>
            <w:r/>
            <w:r>
              <w:rPr>
                <w:rFonts w:ascii="Times New Roman" w:hAnsi="Times New Roman"/>
                <w:sz w:val="18"/>
              </w:rPr>
              <w:t>0.9275</w:t>
            </w:r>
          </w:p>
        </w:tc>
        <w:tc>
          <w:tcPr>
            <w:tcW w:type="dxa" w:w="1211"/>
            <w:shd w:fill="F2F2F2"/>
          </w:tcPr>
          <w:p>
            <w:pPr>
              <w:jc w:val="center"/>
            </w:pPr>
            <w:r/>
            <w:r>
              <w:rPr>
                <w:rFonts w:ascii="Times New Roman" w:hAnsi="Times New Roman"/>
                <w:sz w:val="18"/>
              </w:rPr>
              <w:t>0.7055</w:t>
            </w:r>
          </w:p>
        </w:tc>
        <w:tc>
          <w:tcPr>
            <w:tcW w:type="dxa" w:w="1211"/>
            <w:shd w:fill="F2F2F2"/>
          </w:tcPr>
          <w:p>
            <w:pPr>
              <w:jc w:val="center"/>
            </w:pPr>
            <w:r/>
            <w:r>
              <w:rPr>
                <w:rFonts w:ascii="Times New Roman" w:hAnsi="Times New Roman"/>
                <w:sz w:val="18"/>
              </w:rPr>
              <w:t>0.7098</w:t>
            </w:r>
          </w:p>
        </w:tc>
      </w:tr>
      <w:tr>
        <w:tc>
          <w:tcPr>
            <w:tcW w:type="dxa" w:w="1211"/>
          </w:tcPr>
          <w:p>
            <w:pPr>
              <w:jc w:val="center"/>
            </w:pPr>
            <w:r/>
            <w:r>
              <w:rPr>
                <w:rFonts w:ascii="Times New Roman" w:hAnsi="Times New Roman"/>
                <w:sz w:val="18"/>
              </w:rPr>
              <w:t>Logistic Reg.</w:t>
            </w:r>
          </w:p>
        </w:tc>
        <w:tc>
          <w:tcPr>
            <w:tcW w:type="dxa" w:w="1211"/>
          </w:tcPr>
          <w:p>
            <w:pPr>
              <w:jc w:val="center"/>
            </w:pPr>
            <w:r/>
            <w:r>
              <w:rPr>
                <w:rFonts w:ascii="Times New Roman" w:hAnsi="Times New Roman"/>
                <w:sz w:val="18"/>
              </w:rPr>
              <w:t>0.8365</w:t>
            </w:r>
          </w:p>
        </w:tc>
        <w:tc>
          <w:tcPr>
            <w:tcW w:type="dxa" w:w="1211"/>
          </w:tcPr>
          <w:p>
            <w:pPr>
              <w:jc w:val="center"/>
            </w:pPr>
            <w:r/>
            <w:r>
              <w:rPr>
                <w:rFonts w:ascii="Times New Roman" w:hAnsi="Times New Roman"/>
                <w:sz w:val="18"/>
              </w:rPr>
              <w:t>0.8603</w:t>
            </w:r>
          </w:p>
        </w:tc>
        <w:tc>
          <w:tcPr>
            <w:tcW w:type="dxa" w:w="1211"/>
          </w:tcPr>
          <w:p>
            <w:pPr>
              <w:jc w:val="center"/>
            </w:pPr>
            <w:r/>
            <w:r>
              <w:rPr>
                <w:rFonts w:ascii="Times New Roman" w:hAnsi="Times New Roman"/>
                <w:sz w:val="18"/>
              </w:rPr>
              <w:t>0.8448</w:t>
            </w:r>
          </w:p>
        </w:tc>
        <w:tc>
          <w:tcPr>
            <w:tcW w:type="dxa" w:w="1211"/>
          </w:tcPr>
          <w:p>
            <w:pPr>
              <w:jc w:val="center"/>
            </w:pPr>
            <w:r/>
            <w:r>
              <w:rPr>
                <w:rFonts w:ascii="Times New Roman" w:hAnsi="Times New Roman"/>
                <w:sz w:val="18"/>
              </w:rPr>
              <w:t>0.8516</w:t>
            </w:r>
          </w:p>
        </w:tc>
        <w:tc>
          <w:tcPr>
            <w:tcW w:type="dxa" w:w="1211"/>
          </w:tcPr>
          <w:p>
            <w:pPr>
              <w:jc w:val="center"/>
            </w:pPr>
            <w:r/>
            <w:r>
              <w:rPr>
                <w:rFonts w:ascii="Times New Roman" w:hAnsi="Times New Roman"/>
                <w:sz w:val="18"/>
              </w:rPr>
              <w:t>0.9221</w:t>
            </w:r>
          </w:p>
        </w:tc>
        <w:tc>
          <w:tcPr>
            <w:tcW w:type="dxa" w:w="1211"/>
          </w:tcPr>
          <w:p>
            <w:pPr>
              <w:jc w:val="center"/>
            </w:pPr>
            <w:r/>
            <w:r>
              <w:rPr>
                <w:rFonts w:ascii="Times New Roman" w:hAnsi="Times New Roman"/>
                <w:sz w:val="18"/>
              </w:rPr>
              <w:t>0.6695</w:t>
            </w:r>
          </w:p>
        </w:tc>
        <w:tc>
          <w:tcPr>
            <w:tcW w:type="dxa" w:w="1211"/>
          </w:tcPr>
          <w:p>
            <w:pPr>
              <w:jc w:val="center"/>
            </w:pPr>
            <w:r/>
            <w:r>
              <w:rPr>
                <w:rFonts w:ascii="Times New Roman" w:hAnsi="Times New Roman"/>
                <w:sz w:val="18"/>
              </w:rPr>
              <w:t>0.6714</w:t>
            </w:r>
          </w:p>
        </w:tc>
      </w:tr>
      <w:tr>
        <w:tc>
          <w:tcPr>
            <w:tcW w:type="dxa" w:w="1211"/>
            <w:shd w:fill="F2F2F2"/>
          </w:tcPr>
          <w:p>
            <w:pPr>
              <w:jc w:val="center"/>
            </w:pPr>
            <w:r/>
            <w:r>
              <w:rPr>
                <w:rFonts w:ascii="Times New Roman" w:hAnsi="Times New Roman"/>
                <w:sz w:val="18"/>
              </w:rPr>
              <w:t>Gradient Boost</w:t>
            </w:r>
          </w:p>
        </w:tc>
        <w:tc>
          <w:tcPr>
            <w:tcW w:type="dxa" w:w="1211"/>
            <w:shd w:fill="F2F2F2"/>
          </w:tcPr>
          <w:p>
            <w:pPr>
              <w:jc w:val="center"/>
            </w:pPr>
            <w:r/>
            <w:r>
              <w:rPr>
                <w:rFonts w:ascii="Times New Roman" w:hAnsi="Times New Roman"/>
                <w:sz w:val="18"/>
              </w:rPr>
              <w:t>0.8597</w:t>
            </w:r>
          </w:p>
        </w:tc>
        <w:tc>
          <w:tcPr>
            <w:tcW w:type="dxa" w:w="1211"/>
            <w:shd w:fill="F2F2F2"/>
          </w:tcPr>
          <w:p>
            <w:pPr>
              <w:jc w:val="center"/>
            </w:pPr>
            <w:r/>
            <w:r>
              <w:rPr>
                <w:rFonts w:ascii="Times New Roman" w:hAnsi="Times New Roman"/>
                <w:sz w:val="18"/>
              </w:rPr>
              <w:t>0.8759</w:t>
            </w:r>
          </w:p>
        </w:tc>
        <w:tc>
          <w:tcPr>
            <w:tcW w:type="dxa" w:w="1211"/>
            <w:shd w:fill="F2F2F2"/>
          </w:tcPr>
          <w:p>
            <w:pPr>
              <w:jc w:val="center"/>
            </w:pPr>
            <w:r/>
            <w:r>
              <w:rPr>
                <w:rFonts w:ascii="Times New Roman" w:hAnsi="Times New Roman"/>
                <w:sz w:val="18"/>
              </w:rPr>
              <w:t>0.8720</w:t>
            </w:r>
          </w:p>
        </w:tc>
        <w:tc>
          <w:tcPr>
            <w:tcW w:type="dxa" w:w="1211"/>
            <w:shd w:fill="F2F2F2"/>
          </w:tcPr>
          <w:p>
            <w:pPr>
              <w:jc w:val="center"/>
            </w:pPr>
            <w:r/>
            <w:r>
              <w:rPr>
                <w:rFonts w:ascii="Times New Roman" w:hAnsi="Times New Roman"/>
                <w:sz w:val="18"/>
              </w:rPr>
              <w:t>0.8732</w:t>
            </w:r>
          </w:p>
        </w:tc>
        <w:tc>
          <w:tcPr>
            <w:tcW w:type="dxa" w:w="1211"/>
            <w:shd w:fill="F2F2F2"/>
          </w:tcPr>
          <w:p>
            <w:pPr>
              <w:jc w:val="center"/>
            </w:pPr>
            <w:r/>
            <w:r>
              <w:rPr>
                <w:rFonts w:ascii="Times New Roman" w:hAnsi="Times New Roman"/>
                <w:sz w:val="18"/>
              </w:rPr>
              <w:t>0.9186</w:t>
            </w:r>
          </w:p>
        </w:tc>
        <w:tc>
          <w:tcPr>
            <w:tcW w:type="dxa" w:w="1211"/>
            <w:shd w:fill="F2F2F2"/>
          </w:tcPr>
          <w:p>
            <w:pPr>
              <w:jc w:val="center"/>
            </w:pPr>
            <w:r/>
            <w:r>
              <w:rPr>
                <w:rFonts w:ascii="Times New Roman" w:hAnsi="Times New Roman"/>
                <w:sz w:val="18"/>
              </w:rPr>
              <w:t>0.7161</w:t>
            </w:r>
          </w:p>
        </w:tc>
        <w:tc>
          <w:tcPr>
            <w:tcW w:type="dxa" w:w="1211"/>
            <w:shd w:fill="F2F2F2"/>
          </w:tcPr>
          <w:p>
            <w:pPr>
              <w:jc w:val="center"/>
            </w:pPr>
            <w:r/>
            <w:r>
              <w:rPr>
                <w:rFonts w:ascii="Times New Roman" w:hAnsi="Times New Roman"/>
                <w:sz w:val="18"/>
              </w:rPr>
              <w:t>0.7176</w:t>
            </w:r>
          </w:p>
        </w:tc>
      </w:tr>
      <w:tr>
        <w:tc>
          <w:tcPr>
            <w:tcW w:type="dxa" w:w="1211"/>
          </w:tcPr>
          <w:p>
            <w:pPr>
              <w:jc w:val="center"/>
            </w:pPr>
            <w:r/>
            <w:r>
              <w:rPr>
                <w:rFonts w:ascii="Times New Roman" w:hAnsi="Times New Roman"/>
                <w:sz w:val="18"/>
              </w:rPr>
              <w:t>KNN</w:t>
            </w:r>
          </w:p>
        </w:tc>
        <w:tc>
          <w:tcPr>
            <w:tcW w:type="dxa" w:w="1211"/>
          </w:tcPr>
          <w:p>
            <w:pPr>
              <w:jc w:val="center"/>
            </w:pPr>
            <w:r/>
            <w:r>
              <w:rPr>
                <w:rFonts w:ascii="Times New Roman" w:hAnsi="Times New Roman"/>
                <w:sz w:val="18"/>
              </w:rPr>
              <w:t>0.8610</w:t>
            </w:r>
          </w:p>
        </w:tc>
        <w:tc>
          <w:tcPr>
            <w:tcW w:type="dxa" w:w="1211"/>
          </w:tcPr>
          <w:p>
            <w:pPr>
              <w:jc w:val="center"/>
            </w:pPr>
            <w:r/>
            <w:r>
              <w:rPr>
                <w:rFonts w:ascii="Times New Roman" w:hAnsi="Times New Roman"/>
                <w:sz w:val="18"/>
              </w:rPr>
              <w:t>0.8603</w:t>
            </w:r>
          </w:p>
        </w:tc>
        <w:tc>
          <w:tcPr>
            <w:tcW w:type="dxa" w:w="1211"/>
          </w:tcPr>
          <w:p>
            <w:pPr>
              <w:jc w:val="center"/>
            </w:pPr>
            <w:r/>
            <w:r>
              <w:rPr>
                <w:rFonts w:ascii="Times New Roman" w:hAnsi="Times New Roman"/>
                <w:sz w:val="18"/>
              </w:rPr>
              <w:t>0.8966</w:t>
            </w:r>
          </w:p>
        </w:tc>
        <w:tc>
          <w:tcPr>
            <w:tcW w:type="dxa" w:w="1211"/>
          </w:tcPr>
          <w:p>
            <w:pPr>
              <w:jc w:val="center"/>
            </w:pPr>
            <w:r/>
            <w:r>
              <w:rPr>
                <w:rFonts w:ascii="Times New Roman" w:hAnsi="Times New Roman"/>
                <w:sz w:val="18"/>
              </w:rPr>
              <w:t>0.8775</w:t>
            </w:r>
          </w:p>
        </w:tc>
        <w:tc>
          <w:tcPr>
            <w:tcW w:type="dxa" w:w="1211"/>
          </w:tcPr>
          <w:p>
            <w:pPr>
              <w:jc w:val="center"/>
            </w:pPr>
            <w:r/>
            <w:r>
              <w:rPr>
                <w:rFonts w:ascii="Times New Roman" w:hAnsi="Times New Roman"/>
                <w:sz w:val="18"/>
              </w:rPr>
              <w:t>0.9141</w:t>
            </w:r>
          </w:p>
        </w:tc>
        <w:tc>
          <w:tcPr>
            <w:tcW w:type="dxa" w:w="1211"/>
          </w:tcPr>
          <w:p>
            <w:pPr>
              <w:jc w:val="center"/>
            </w:pPr>
            <w:r/>
            <w:r>
              <w:rPr>
                <w:rFonts w:ascii="Times New Roman" w:hAnsi="Times New Roman"/>
                <w:sz w:val="18"/>
              </w:rPr>
              <w:t>0.7172</w:t>
            </w:r>
          </w:p>
        </w:tc>
        <w:tc>
          <w:tcPr>
            <w:tcW w:type="dxa" w:w="1211"/>
          </w:tcPr>
          <w:p>
            <w:pPr>
              <w:jc w:val="center"/>
            </w:pPr>
            <w:r/>
            <w:r>
              <w:rPr>
                <w:rFonts w:ascii="Times New Roman" w:hAnsi="Times New Roman"/>
                <w:sz w:val="18"/>
              </w:rPr>
              <w:t>0.7192</w:t>
            </w:r>
          </w:p>
        </w:tc>
      </w:tr>
      <w:tr>
        <w:tc>
          <w:tcPr>
            <w:tcW w:type="dxa" w:w="1211"/>
            <w:shd w:fill="F2F2F2"/>
          </w:tcPr>
          <w:p>
            <w:pPr>
              <w:jc w:val="center"/>
            </w:pPr>
            <w:r/>
            <w:r>
              <w:rPr>
                <w:rFonts w:ascii="Times New Roman" w:hAnsi="Times New Roman"/>
                <w:sz w:val="18"/>
              </w:rPr>
              <w:t>SVM (RBF)</w:t>
            </w:r>
          </w:p>
        </w:tc>
        <w:tc>
          <w:tcPr>
            <w:tcW w:type="dxa" w:w="1211"/>
            <w:shd w:fill="F2F2F2"/>
          </w:tcPr>
          <w:p>
            <w:pPr>
              <w:jc w:val="center"/>
            </w:pPr>
            <w:r/>
            <w:r>
              <w:rPr>
                <w:rFonts w:ascii="Times New Roman" w:hAnsi="Times New Roman"/>
                <w:sz w:val="18"/>
              </w:rPr>
              <w:t>0.8283</w:t>
            </w:r>
          </w:p>
        </w:tc>
        <w:tc>
          <w:tcPr>
            <w:tcW w:type="dxa" w:w="1211"/>
            <w:shd w:fill="F2F2F2"/>
          </w:tcPr>
          <w:p>
            <w:pPr>
              <w:jc w:val="center"/>
            </w:pPr>
            <w:r/>
            <w:r>
              <w:rPr>
                <w:rFonts w:ascii="Times New Roman" w:hAnsi="Times New Roman"/>
                <w:sz w:val="18"/>
              </w:rPr>
              <w:t>0.8504</w:t>
            </w:r>
          </w:p>
        </w:tc>
        <w:tc>
          <w:tcPr>
            <w:tcW w:type="dxa" w:w="1211"/>
            <w:shd w:fill="F2F2F2"/>
          </w:tcPr>
          <w:p>
            <w:pPr>
              <w:jc w:val="center"/>
            </w:pPr>
            <w:r/>
            <w:r>
              <w:rPr>
                <w:rFonts w:ascii="Times New Roman" w:hAnsi="Times New Roman"/>
                <w:sz w:val="18"/>
              </w:rPr>
              <w:t>0.8400</w:t>
            </w:r>
          </w:p>
        </w:tc>
        <w:tc>
          <w:tcPr>
            <w:tcW w:type="dxa" w:w="1211"/>
            <w:shd w:fill="F2F2F2"/>
          </w:tcPr>
          <w:p>
            <w:pPr>
              <w:jc w:val="center"/>
            </w:pPr>
            <w:r/>
            <w:r>
              <w:rPr>
                <w:rFonts w:ascii="Times New Roman" w:hAnsi="Times New Roman"/>
                <w:sz w:val="18"/>
              </w:rPr>
              <w:t>0.8445</w:t>
            </w:r>
          </w:p>
        </w:tc>
        <w:tc>
          <w:tcPr>
            <w:tcW w:type="dxa" w:w="1211"/>
            <w:shd w:fill="F2F2F2"/>
          </w:tcPr>
          <w:p>
            <w:pPr>
              <w:jc w:val="center"/>
            </w:pPr>
            <w:r/>
            <w:r>
              <w:rPr>
                <w:rFonts w:ascii="Times New Roman" w:hAnsi="Times New Roman"/>
                <w:sz w:val="18"/>
              </w:rPr>
              <w:t>0.9003</w:t>
            </w:r>
          </w:p>
        </w:tc>
        <w:tc>
          <w:tcPr>
            <w:tcW w:type="dxa" w:w="1211"/>
            <w:shd w:fill="F2F2F2"/>
          </w:tcPr>
          <w:p>
            <w:pPr>
              <w:jc w:val="center"/>
            </w:pPr>
            <w:r/>
            <w:r>
              <w:rPr>
                <w:rFonts w:ascii="Times New Roman" w:hAnsi="Times New Roman"/>
                <w:sz w:val="18"/>
              </w:rPr>
              <w:t>0.6530</w:t>
            </w:r>
          </w:p>
        </w:tc>
        <w:tc>
          <w:tcPr>
            <w:tcW w:type="dxa" w:w="1211"/>
            <w:shd w:fill="F2F2F2"/>
          </w:tcPr>
          <w:p>
            <w:pPr>
              <w:jc w:val="center"/>
            </w:pPr>
            <w:r/>
            <w:r>
              <w:rPr>
                <w:rFonts w:ascii="Times New Roman" w:hAnsi="Times New Roman"/>
                <w:sz w:val="18"/>
              </w:rPr>
              <w:t>0.6542</w:t>
            </w:r>
          </w:p>
        </w:tc>
      </w:tr>
    </w:tbl>
    <w:p/>
    <w:p>
      <w:pPr>
        <w:spacing w:after="80" w:line="240" w:lineRule="auto"/>
        <w:ind w:firstLine="720"/>
      </w:pPr>
      <w:r>
        <w:rPr>
          <w:rFonts w:ascii="Times New Roman" w:hAnsi="Times New Roman"/>
          <w:sz w:val="20"/>
        </w:rPr>
        <w:t>Stacking achieved the highest cross-validation ROC-AUC of 0.9296, followed closely by Random Forest (0.9275) and Logistic Regression (0.9221). For the F1 score, KNN (0.8775) slightly outperformed Stacking (0.8737) and Random Forest (0.8736). SVM (RBF) showed the lowest performance across most metrics, though it still achieved a respectable ROC-AUC of 0.9003. The relatively small standard deviations across folds indicate stable model performance, validating the use of cross-validation for reliable evaluation.</w:t>
      </w:r>
    </w:p>
    <w:p>
      <w:pPr>
        <w:spacing w:before="160" w:after="120"/>
      </w:pPr>
      <w:r>
        <w:rPr>
          <w:rFonts w:ascii="Times New Roman" w:hAnsi="Times New Roman"/>
          <w:b/>
          <w:sz w:val="20"/>
        </w:rPr>
        <w:t>4.3. Test Set Results (Task 3)</w:t>
      </w:r>
    </w:p>
    <w:p>
      <w:pPr>
        <w:spacing w:after="80" w:line="240" w:lineRule="auto"/>
        <w:ind w:firstLine="720"/>
      </w:pPr>
      <w:r>
        <w:rPr>
          <w:rFonts w:ascii="Times New Roman" w:hAnsi="Times New Roman"/>
          <w:sz w:val="20"/>
        </w:rPr>
        <w:t>Table 4 presents the performance of all models on the held-out test set.</w:t>
      </w:r>
    </w:p>
    <w:p>
      <w:pPr>
        <w:jc w:val="center"/>
      </w:pPr>
      <w:r>
        <w:rPr>
          <w:rFonts w:ascii="Times New Roman" w:hAnsi="Times New Roman"/>
          <w:b/>
          <w:sz w:val="18"/>
        </w:rPr>
        <w:t>Table 4. Test Set Results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fill="D9D9D9"/>
          </w:tcPr>
          <w:p>
            <w:pPr>
              <w:jc w:val="center"/>
            </w:pPr>
            <w:r/>
            <w:r>
              <w:rPr>
                <w:rFonts w:ascii="Times New Roman" w:hAnsi="Times New Roman"/>
                <w:b/>
                <w:sz w:val="18"/>
              </w:rPr>
              <w:t>Model</w:t>
            </w:r>
          </w:p>
        </w:tc>
        <w:tc>
          <w:tcPr>
            <w:tcW w:type="dxa" w:w="1211"/>
            <w:shd w:fill="D9D9D9"/>
          </w:tcPr>
          <w:p>
            <w:pPr>
              <w:jc w:val="center"/>
            </w:pPr>
            <w:r/>
            <w:r>
              <w:rPr>
                <w:rFonts w:ascii="Times New Roman" w:hAnsi="Times New Roman"/>
                <w:b/>
                <w:sz w:val="18"/>
              </w:rPr>
              <w:t>Accuracy</w:t>
            </w:r>
          </w:p>
        </w:tc>
        <w:tc>
          <w:tcPr>
            <w:tcW w:type="dxa" w:w="1211"/>
            <w:shd w:fill="D9D9D9"/>
          </w:tcPr>
          <w:p>
            <w:pPr>
              <w:jc w:val="center"/>
            </w:pPr>
            <w:r/>
            <w:r>
              <w:rPr>
                <w:rFonts w:ascii="Times New Roman" w:hAnsi="Times New Roman"/>
                <w:b/>
                <w:sz w:val="18"/>
              </w:rPr>
              <w:t>Precision</w:t>
            </w:r>
          </w:p>
        </w:tc>
        <w:tc>
          <w:tcPr>
            <w:tcW w:type="dxa" w:w="1211"/>
            <w:shd w:fill="D9D9D9"/>
          </w:tcPr>
          <w:p>
            <w:pPr>
              <w:jc w:val="center"/>
            </w:pPr>
            <w:r/>
            <w:r>
              <w:rPr>
                <w:rFonts w:ascii="Times New Roman" w:hAnsi="Times New Roman"/>
                <w:b/>
                <w:sz w:val="18"/>
              </w:rPr>
              <w:t>Recall</w:t>
            </w:r>
          </w:p>
        </w:tc>
        <w:tc>
          <w:tcPr>
            <w:tcW w:type="dxa" w:w="1211"/>
            <w:shd w:fill="D9D9D9"/>
          </w:tcPr>
          <w:p>
            <w:pPr>
              <w:jc w:val="center"/>
            </w:pPr>
            <w:r/>
            <w:r>
              <w:rPr>
                <w:rFonts w:ascii="Times New Roman" w:hAnsi="Times New Roman"/>
                <w:b/>
                <w:sz w:val="18"/>
              </w:rPr>
              <w:t>F1</w:t>
            </w:r>
          </w:p>
        </w:tc>
        <w:tc>
          <w:tcPr>
            <w:tcW w:type="dxa" w:w="1211"/>
            <w:shd w:fill="D9D9D9"/>
          </w:tcPr>
          <w:p>
            <w:pPr>
              <w:jc w:val="center"/>
            </w:pPr>
            <w:r/>
            <w:r>
              <w:rPr>
                <w:rFonts w:ascii="Times New Roman" w:hAnsi="Times New Roman"/>
                <w:b/>
                <w:sz w:val="18"/>
              </w:rPr>
              <w:t>ROC-AUC</w:t>
            </w:r>
          </w:p>
        </w:tc>
        <w:tc>
          <w:tcPr>
            <w:tcW w:type="dxa" w:w="1211"/>
            <w:shd w:fill="D9D9D9"/>
          </w:tcPr>
          <w:p>
            <w:pPr>
              <w:jc w:val="center"/>
            </w:pPr>
            <w:r/>
            <w:r>
              <w:rPr>
                <w:rFonts w:ascii="Times New Roman" w:hAnsi="Times New Roman"/>
                <w:b/>
                <w:sz w:val="18"/>
              </w:rPr>
              <w:t>Kappa</w:t>
            </w:r>
          </w:p>
        </w:tc>
        <w:tc>
          <w:tcPr>
            <w:tcW w:type="dxa" w:w="1211"/>
            <w:shd w:fill="D9D9D9"/>
          </w:tcPr>
          <w:p>
            <w:pPr>
              <w:jc w:val="center"/>
            </w:pPr>
            <w:r/>
            <w:r>
              <w:rPr>
                <w:rFonts w:ascii="Times New Roman" w:hAnsi="Times New Roman"/>
                <w:b/>
                <w:sz w:val="18"/>
              </w:rPr>
              <w:t>MCC</w:t>
            </w:r>
          </w:p>
        </w:tc>
      </w:tr>
      <w:tr>
        <w:tc>
          <w:tcPr>
            <w:tcW w:type="dxa" w:w="1211"/>
          </w:tcPr>
          <w:p>
            <w:pPr>
              <w:jc w:val="center"/>
            </w:pPr>
            <w:r/>
            <w:r>
              <w:rPr>
                <w:rFonts w:ascii="Times New Roman" w:hAnsi="Times New Roman"/>
                <w:sz w:val="18"/>
              </w:rPr>
              <w:t>KNN</w:t>
            </w:r>
          </w:p>
        </w:tc>
        <w:tc>
          <w:tcPr>
            <w:tcW w:type="dxa" w:w="1211"/>
          </w:tcPr>
          <w:p>
            <w:pPr>
              <w:jc w:val="center"/>
            </w:pPr>
            <w:r/>
            <w:r>
              <w:rPr>
                <w:rFonts w:ascii="Times New Roman" w:hAnsi="Times New Roman"/>
                <w:sz w:val="18"/>
              </w:rPr>
              <w:t>0.9130</w:t>
            </w:r>
          </w:p>
        </w:tc>
        <w:tc>
          <w:tcPr>
            <w:tcW w:type="dxa" w:w="1211"/>
          </w:tcPr>
          <w:p>
            <w:pPr>
              <w:jc w:val="center"/>
            </w:pPr>
            <w:r/>
            <w:r>
              <w:rPr>
                <w:rFonts w:ascii="Times New Roman" w:hAnsi="Times New Roman"/>
                <w:sz w:val="18"/>
              </w:rPr>
              <w:t>0.9216</w:t>
            </w:r>
          </w:p>
        </w:tc>
        <w:tc>
          <w:tcPr>
            <w:tcW w:type="dxa" w:w="1211"/>
          </w:tcPr>
          <w:p>
            <w:pPr>
              <w:jc w:val="center"/>
            </w:pPr>
            <w:r/>
            <w:r>
              <w:rPr>
                <w:rFonts w:ascii="Times New Roman" w:hAnsi="Times New Roman"/>
                <w:sz w:val="18"/>
              </w:rPr>
              <w:t>0.9216</w:t>
            </w:r>
          </w:p>
        </w:tc>
        <w:tc>
          <w:tcPr>
            <w:tcW w:type="dxa" w:w="1211"/>
          </w:tcPr>
          <w:p>
            <w:pPr>
              <w:jc w:val="center"/>
            </w:pPr>
            <w:r/>
            <w:r>
              <w:rPr>
                <w:rFonts w:ascii="Times New Roman" w:hAnsi="Times New Roman"/>
                <w:sz w:val="18"/>
              </w:rPr>
              <w:t>0.9216</w:t>
            </w:r>
          </w:p>
        </w:tc>
        <w:tc>
          <w:tcPr>
            <w:tcW w:type="dxa" w:w="1211"/>
          </w:tcPr>
          <w:p>
            <w:pPr>
              <w:jc w:val="center"/>
            </w:pPr>
            <w:r/>
            <w:r>
              <w:rPr>
                <w:rFonts w:ascii="Times New Roman" w:hAnsi="Times New Roman"/>
                <w:sz w:val="18"/>
              </w:rPr>
              <w:t>0.9448</w:t>
            </w:r>
          </w:p>
        </w:tc>
        <w:tc>
          <w:tcPr>
            <w:tcW w:type="dxa" w:w="1211"/>
          </w:tcPr>
          <w:p>
            <w:pPr>
              <w:jc w:val="center"/>
            </w:pPr>
            <w:r/>
            <w:r>
              <w:rPr>
                <w:rFonts w:ascii="Times New Roman" w:hAnsi="Times New Roman"/>
                <w:sz w:val="18"/>
              </w:rPr>
              <w:t>0.8240</w:t>
            </w:r>
          </w:p>
        </w:tc>
        <w:tc>
          <w:tcPr>
            <w:tcW w:type="dxa" w:w="1211"/>
          </w:tcPr>
          <w:p>
            <w:pPr>
              <w:jc w:val="center"/>
            </w:pPr>
            <w:r/>
            <w:r>
              <w:rPr>
                <w:rFonts w:ascii="Times New Roman" w:hAnsi="Times New Roman"/>
                <w:sz w:val="18"/>
              </w:rPr>
              <w:t>0.8240</w:t>
            </w:r>
          </w:p>
        </w:tc>
      </w:tr>
      <w:tr>
        <w:tc>
          <w:tcPr>
            <w:tcW w:type="dxa" w:w="1211"/>
            <w:shd w:fill="F2F2F2"/>
          </w:tcPr>
          <w:p>
            <w:pPr>
              <w:jc w:val="center"/>
            </w:pPr>
            <w:r/>
            <w:r>
              <w:rPr>
                <w:rFonts w:ascii="Times New Roman" w:hAnsi="Times New Roman"/>
                <w:sz w:val="18"/>
              </w:rPr>
              <w:t>Stacking</w:t>
            </w:r>
          </w:p>
        </w:tc>
        <w:tc>
          <w:tcPr>
            <w:tcW w:type="dxa" w:w="1211"/>
            <w:shd w:fill="F2F2F2"/>
          </w:tcPr>
          <w:p>
            <w:pPr>
              <w:jc w:val="center"/>
            </w:pPr>
            <w:r/>
            <w:r>
              <w:rPr>
                <w:rFonts w:ascii="Times New Roman" w:hAnsi="Times New Roman"/>
                <w:sz w:val="18"/>
              </w:rPr>
              <w:t>0.8859</w:t>
            </w:r>
          </w:p>
        </w:tc>
        <w:tc>
          <w:tcPr>
            <w:tcW w:type="dxa" w:w="1211"/>
            <w:shd w:fill="F2F2F2"/>
          </w:tcPr>
          <w:p>
            <w:pPr>
              <w:jc w:val="center"/>
            </w:pPr>
            <w:r/>
            <w:r>
              <w:rPr>
                <w:rFonts w:ascii="Times New Roman" w:hAnsi="Times New Roman"/>
                <w:sz w:val="18"/>
              </w:rPr>
              <w:t>0.8932</w:t>
            </w:r>
          </w:p>
        </w:tc>
        <w:tc>
          <w:tcPr>
            <w:tcW w:type="dxa" w:w="1211"/>
            <w:shd w:fill="F2F2F2"/>
          </w:tcPr>
          <w:p>
            <w:pPr>
              <w:jc w:val="center"/>
            </w:pPr>
            <w:r/>
            <w:r>
              <w:rPr>
                <w:rFonts w:ascii="Times New Roman" w:hAnsi="Times New Roman"/>
                <w:sz w:val="18"/>
              </w:rPr>
              <w:t>0.9020</w:t>
            </w:r>
          </w:p>
        </w:tc>
        <w:tc>
          <w:tcPr>
            <w:tcW w:type="dxa" w:w="1211"/>
            <w:shd w:fill="F2F2F2"/>
          </w:tcPr>
          <w:p>
            <w:pPr>
              <w:jc w:val="center"/>
            </w:pPr>
            <w:r/>
            <w:r>
              <w:rPr>
                <w:rFonts w:ascii="Times New Roman" w:hAnsi="Times New Roman"/>
                <w:sz w:val="18"/>
              </w:rPr>
              <w:t>0.8976</w:t>
            </w:r>
          </w:p>
        </w:tc>
        <w:tc>
          <w:tcPr>
            <w:tcW w:type="dxa" w:w="1211"/>
            <w:shd w:fill="F2F2F2"/>
          </w:tcPr>
          <w:p>
            <w:pPr>
              <w:jc w:val="center"/>
            </w:pPr>
            <w:r/>
            <w:r>
              <w:rPr>
                <w:rFonts w:ascii="Times New Roman" w:hAnsi="Times New Roman"/>
                <w:sz w:val="18"/>
              </w:rPr>
              <w:t>0.9341</w:t>
            </w:r>
          </w:p>
        </w:tc>
        <w:tc>
          <w:tcPr>
            <w:tcW w:type="dxa" w:w="1211"/>
            <w:shd w:fill="F2F2F2"/>
          </w:tcPr>
          <w:p>
            <w:pPr>
              <w:jc w:val="center"/>
            </w:pPr>
            <w:r/>
            <w:r>
              <w:rPr>
                <w:rFonts w:ascii="Times New Roman" w:hAnsi="Times New Roman"/>
                <w:sz w:val="18"/>
              </w:rPr>
              <w:t>0.7687</w:t>
            </w:r>
          </w:p>
        </w:tc>
        <w:tc>
          <w:tcPr>
            <w:tcW w:type="dxa" w:w="1211"/>
            <w:shd w:fill="F2F2F2"/>
          </w:tcPr>
          <w:p>
            <w:pPr>
              <w:jc w:val="center"/>
            </w:pPr>
            <w:r/>
            <w:r>
              <w:rPr>
                <w:rFonts w:ascii="Times New Roman" w:hAnsi="Times New Roman"/>
                <w:sz w:val="18"/>
              </w:rPr>
              <w:t>0.7688</w:t>
            </w:r>
          </w:p>
        </w:tc>
      </w:tr>
      <w:tr>
        <w:tc>
          <w:tcPr>
            <w:tcW w:type="dxa" w:w="1211"/>
          </w:tcPr>
          <w:p>
            <w:pPr>
              <w:jc w:val="center"/>
            </w:pPr>
            <w:r/>
            <w:r>
              <w:rPr>
                <w:rFonts w:ascii="Times New Roman" w:hAnsi="Times New Roman"/>
                <w:sz w:val="18"/>
              </w:rPr>
              <w:t>Logistic Reg.</w:t>
            </w:r>
          </w:p>
        </w:tc>
        <w:tc>
          <w:tcPr>
            <w:tcW w:type="dxa" w:w="1211"/>
          </w:tcPr>
          <w:p>
            <w:pPr>
              <w:jc w:val="center"/>
            </w:pPr>
            <w:r/>
            <w:r>
              <w:rPr>
                <w:rFonts w:ascii="Times New Roman" w:hAnsi="Times New Roman"/>
                <w:sz w:val="18"/>
              </w:rPr>
              <w:t>0.8750</w:t>
            </w:r>
          </w:p>
        </w:tc>
        <w:tc>
          <w:tcPr>
            <w:tcW w:type="dxa" w:w="1211"/>
          </w:tcPr>
          <w:p>
            <w:pPr>
              <w:jc w:val="center"/>
            </w:pPr>
            <w:r/>
            <w:r>
              <w:rPr>
                <w:rFonts w:ascii="Times New Roman" w:hAnsi="Times New Roman"/>
                <w:sz w:val="18"/>
              </w:rPr>
              <w:t>0.8990</w:t>
            </w:r>
          </w:p>
        </w:tc>
        <w:tc>
          <w:tcPr>
            <w:tcW w:type="dxa" w:w="1211"/>
          </w:tcPr>
          <w:p>
            <w:pPr>
              <w:jc w:val="center"/>
            </w:pPr>
            <w:r/>
            <w:r>
              <w:rPr>
                <w:rFonts w:ascii="Times New Roman" w:hAnsi="Times New Roman"/>
                <w:sz w:val="18"/>
              </w:rPr>
              <w:t>0.8725</w:t>
            </w:r>
          </w:p>
        </w:tc>
        <w:tc>
          <w:tcPr>
            <w:tcW w:type="dxa" w:w="1211"/>
          </w:tcPr>
          <w:p>
            <w:pPr>
              <w:jc w:val="center"/>
            </w:pPr>
            <w:r/>
            <w:r>
              <w:rPr>
                <w:rFonts w:ascii="Times New Roman" w:hAnsi="Times New Roman"/>
                <w:sz w:val="18"/>
              </w:rPr>
              <w:t>0.8856</w:t>
            </w:r>
          </w:p>
        </w:tc>
        <w:tc>
          <w:tcPr>
            <w:tcW w:type="dxa" w:w="1211"/>
          </w:tcPr>
          <w:p>
            <w:pPr>
              <w:jc w:val="center"/>
            </w:pPr>
            <w:r/>
            <w:r>
              <w:rPr>
                <w:rFonts w:ascii="Times New Roman" w:hAnsi="Times New Roman"/>
                <w:sz w:val="18"/>
              </w:rPr>
              <w:t>0.9321</w:t>
            </w:r>
          </w:p>
        </w:tc>
        <w:tc>
          <w:tcPr>
            <w:tcW w:type="dxa" w:w="1211"/>
          </w:tcPr>
          <w:p>
            <w:pPr>
              <w:jc w:val="center"/>
            </w:pPr>
            <w:r/>
            <w:r>
              <w:rPr>
                <w:rFonts w:ascii="Times New Roman" w:hAnsi="Times New Roman"/>
                <w:sz w:val="18"/>
              </w:rPr>
              <w:t>0.7479</w:t>
            </w:r>
          </w:p>
        </w:tc>
        <w:tc>
          <w:tcPr>
            <w:tcW w:type="dxa" w:w="1211"/>
          </w:tcPr>
          <w:p>
            <w:pPr>
              <w:jc w:val="center"/>
            </w:pPr>
            <w:r/>
            <w:r>
              <w:rPr>
                <w:rFonts w:ascii="Times New Roman" w:hAnsi="Times New Roman"/>
                <w:sz w:val="18"/>
              </w:rPr>
              <w:t>0.7483</w:t>
            </w:r>
          </w:p>
        </w:tc>
      </w:tr>
      <w:tr>
        <w:tc>
          <w:tcPr>
            <w:tcW w:type="dxa" w:w="1211"/>
            <w:shd w:fill="F2F2F2"/>
          </w:tcPr>
          <w:p>
            <w:pPr>
              <w:jc w:val="center"/>
            </w:pPr>
            <w:r/>
            <w:r>
              <w:rPr>
                <w:rFonts w:ascii="Times New Roman" w:hAnsi="Times New Roman"/>
                <w:sz w:val="18"/>
              </w:rPr>
              <w:t>Random Forest</w:t>
            </w:r>
          </w:p>
        </w:tc>
        <w:tc>
          <w:tcPr>
            <w:tcW w:type="dxa" w:w="1211"/>
            <w:shd w:fill="F2F2F2"/>
          </w:tcPr>
          <w:p>
            <w:pPr>
              <w:jc w:val="center"/>
            </w:pPr>
            <w:r/>
            <w:r>
              <w:rPr>
                <w:rFonts w:ascii="Times New Roman" w:hAnsi="Times New Roman"/>
                <w:sz w:val="18"/>
              </w:rPr>
              <w:t>0.8859</w:t>
            </w:r>
          </w:p>
        </w:tc>
        <w:tc>
          <w:tcPr>
            <w:tcW w:type="dxa" w:w="1211"/>
            <w:shd w:fill="F2F2F2"/>
          </w:tcPr>
          <w:p>
            <w:pPr>
              <w:jc w:val="center"/>
            </w:pPr>
            <w:r/>
            <w:r>
              <w:rPr>
                <w:rFonts w:ascii="Times New Roman" w:hAnsi="Times New Roman"/>
                <w:sz w:val="18"/>
              </w:rPr>
              <w:t>0.8857</w:t>
            </w:r>
          </w:p>
        </w:tc>
        <w:tc>
          <w:tcPr>
            <w:tcW w:type="dxa" w:w="1211"/>
            <w:shd w:fill="F2F2F2"/>
          </w:tcPr>
          <w:p>
            <w:pPr>
              <w:jc w:val="center"/>
            </w:pPr>
            <w:r/>
            <w:r>
              <w:rPr>
                <w:rFonts w:ascii="Times New Roman" w:hAnsi="Times New Roman"/>
                <w:sz w:val="18"/>
              </w:rPr>
              <w:t>0.9118</w:t>
            </w:r>
          </w:p>
        </w:tc>
        <w:tc>
          <w:tcPr>
            <w:tcW w:type="dxa" w:w="1211"/>
            <w:shd w:fill="F2F2F2"/>
          </w:tcPr>
          <w:p>
            <w:pPr>
              <w:jc w:val="center"/>
            </w:pPr>
            <w:r/>
            <w:r>
              <w:rPr>
                <w:rFonts w:ascii="Times New Roman" w:hAnsi="Times New Roman"/>
                <w:sz w:val="18"/>
              </w:rPr>
              <w:t>0.8986</w:t>
            </w:r>
          </w:p>
        </w:tc>
        <w:tc>
          <w:tcPr>
            <w:tcW w:type="dxa" w:w="1211"/>
            <w:shd w:fill="F2F2F2"/>
          </w:tcPr>
          <w:p>
            <w:pPr>
              <w:jc w:val="center"/>
            </w:pPr>
            <w:r/>
            <w:r>
              <w:rPr>
                <w:rFonts w:ascii="Times New Roman" w:hAnsi="Times New Roman"/>
                <w:sz w:val="18"/>
              </w:rPr>
              <w:t>0.9306</w:t>
            </w:r>
          </w:p>
        </w:tc>
        <w:tc>
          <w:tcPr>
            <w:tcW w:type="dxa" w:w="1211"/>
            <w:shd w:fill="F2F2F2"/>
          </w:tcPr>
          <w:p>
            <w:pPr>
              <w:jc w:val="center"/>
            </w:pPr>
            <w:r/>
            <w:r>
              <w:rPr>
                <w:rFonts w:ascii="Times New Roman" w:hAnsi="Times New Roman"/>
                <w:sz w:val="18"/>
              </w:rPr>
              <w:t>0.7682</w:t>
            </w:r>
          </w:p>
        </w:tc>
        <w:tc>
          <w:tcPr>
            <w:tcW w:type="dxa" w:w="1211"/>
            <w:shd w:fill="F2F2F2"/>
          </w:tcPr>
          <w:p>
            <w:pPr>
              <w:jc w:val="center"/>
            </w:pPr>
            <w:r/>
            <w:r>
              <w:rPr>
                <w:rFonts w:ascii="Times New Roman" w:hAnsi="Times New Roman"/>
                <w:sz w:val="18"/>
              </w:rPr>
              <w:t>0.7686</w:t>
            </w:r>
          </w:p>
        </w:tc>
      </w:tr>
      <w:tr>
        <w:tc>
          <w:tcPr>
            <w:tcW w:type="dxa" w:w="1211"/>
          </w:tcPr>
          <w:p>
            <w:pPr>
              <w:jc w:val="center"/>
            </w:pPr>
            <w:r/>
            <w:r>
              <w:rPr>
                <w:rFonts w:ascii="Times New Roman" w:hAnsi="Times New Roman"/>
                <w:sz w:val="18"/>
              </w:rPr>
              <w:t>Gradient Boost</w:t>
            </w:r>
          </w:p>
        </w:tc>
        <w:tc>
          <w:tcPr>
            <w:tcW w:type="dxa" w:w="1211"/>
          </w:tcPr>
          <w:p>
            <w:pPr>
              <w:jc w:val="center"/>
            </w:pPr>
            <w:r/>
            <w:r>
              <w:rPr>
                <w:rFonts w:ascii="Times New Roman" w:hAnsi="Times New Roman"/>
                <w:sz w:val="18"/>
              </w:rPr>
              <w:t>0.8696</w:t>
            </w:r>
          </w:p>
        </w:tc>
        <w:tc>
          <w:tcPr>
            <w:tcW w:type="dxa" w:w="1211"/>
          </w:tcPr>
          <w:p>
            <w:pPr>
              <w:jc w:val="center"/>
            </w:pPr>
            <w:r/>
            <w:r>
              <w:rPr>
                <w:rFonts w:ascii="Times New Roman" w:hAnsi="Times New Roman"/>
                <w:sz w:val="18"/>
              </w:rPr>
              <w:t>0.8900</w:t>
            </w:r>
          </w:p>
        </w:tc>
        <w:tc>
          <w:tcPr>
            <w:tcW w:type="dxa" w:w="1211"/>
          </w:tcPr>
          <w:p>
            <w:pPr>
              <w:jc w:val="center"/>
            </w:pPr>
            <w:r/>
            <w:r>
              <w:rPr>
                <w:rFonts w:ascii="Times New Roman" w:hAnsi="Times New Roman"/>
                <w:sz w:val="18"/>
              </w:rPr>
              <w:t>0.8725</w:t>
            </w:r>
          </w:p>
        </w:tc>
        <w:tc>
          <w:tcPr>
            <w:tcW w:type="dxa" w:w="1211"/>
          </w:tcPr>
          <w:p>
            <w:pPr>
              <w:jc w:val="center"/>
            </w:pPr>
            <w:r/>
            <w:r>
              <w:rPr>
                <w:rFonts w:ascii="Times New Roman" w:hAnsi="Times New Roman"/>
                <w:sz w:val="18"/>
              </w:rPr>
              <w:t>0.8812</w:t>
            </w:r>
          </w:p>
        </w:tc>
        <w:tc>
          <w:tcPr>
            <w:tcW w:type="dxa" w:w="1211"/>
          </w:tcPr>
          <w:p>
            <w:pPr>
              <w:jc w:val="center"/>
            </w:pPr>
            <w:r/>
            <w:r>
              <w:rPr>
                <w:rFonts w:ascii="Times New Roman" w:hAnsi="Times New Roman"/>
                <w:sz w:val="18"/>
              </w:rPr>
              <w:t>0.9142</w:t>
            </w:r>
          </w:p>
        </w:tc>
        <w:tc>
          <w:tcPr>
            <w:tcW w:type="dxa" w:w="1211"/>
          </w:tcPr>
          <w:p>
            <w:pPr>
              <w:jc w:val="center"/>
            </w:pPr>
            <w:r/>
            <w:r>
              <w:rPr>
                <w:rFonts w:ascii="Times New Roman" w:hAnsi="Times New Roman"/>
                <w:sz w:val="18"/>
              </w:rPr>
              <w:t>0.7366</w:t>
            </w:r>
          </w:p>
        </w:tc>
        <w:tc>
          <w:tcPr>
            <w:tcW w:type="dxa" w:w="1211"/>
          </w:tcPr>
          <w:p>
            <w:pPr>
              <w:jc w:val="center"/>
            </w:pPr>
            <w:r/>
            <w:r>
              <w:rPr>
                <w:rFonts w:ascii="Times New Roman" w:hAnsi="Times New Roman"/>
                <w:sz w:val="18"/>
              </w:rPr>
              <w:t>0.7368</w:t>
            </w:r>
          </w:p>
        </w:tc>
      </w:tr>
      <w:tr>
        <w:tc>
          <w:tcPr>
            <w:tcW w:type="dxa" w:w="1211"/>
            <w:shd w:fill="F2F2F2"/>
          </w:tcPr>
          <w:p>
            <w:pPr>
              <w:jc w:val="center"/>
            </w:pPr>
            <w:r/>
            <w:r>
              <w:rPr>
                <w:rFonts w:ascii="Times New Roman" w:hAnsi="Times New Roman"/>
                <w:sz w:val="18"/>
              </w:rPr>
              <w:t>SVM (RBF)</w:t>
            </w:r>
          </w:p>
        </w:tc>
        <w:tc>
          <w:tcPr>
            <w:tcW w:type="dxa" w:w="1211"/>
            <w:shd w:fill="F2F2F2"/>
          </w:tcPr>
          <w:p>
            <w:pPr>
              <w:jc w:val="center"/>
            </w:pPr>
            <w:r/>
            <w:r>
              <w:rPr>
                <w:rFonts w:ascii="Times New Roman" w:hAnsi="Times New Roman"/>
                <w:sz w:val="18"/>
              </w:rPr>
              <w:t>0.8424</w:t>
            </w:r>
          </w:p>
        </w:tc>
        <w:tc>
          <w:tcPr>
            <w:tcW w:type="dxa" w:w="1211"/>
            <w:shd w:fill="F2F2F2"/>
          </w:tcPr>
          <w:p>
            <w:pPr>
              <w:jc w:val="center"/>
            </w:pPr>
            <w:r/>
            <w:r>
              <w:rPr>
                <w:rFonts w:ascii="Times New Roman" w:hAnsi="Times New Roman"/>
                <w:sz w:val="18"/>
              </w:rPr>
              <w:t>0.8687</w:t>
            </w:r>
          </w:p>
        </w:tc>
        <w:tc>
          <w:tcPr>
            <w:tcW w:type="dxa" w:w="1211"/>
            <w:shd w:fill="F2F2F2"/>
          </w:tcPr>
          <w:p>
            <w:pPr>
              <w:jc w:val="center"/>
            </w:pPr>
            <w:r/>
            <w:r>
              <w:rPr>
                <w:rFonts w:ascii="Times New Roman" w:hAnsi="Times New Roman"/>
                <w:sz w:val="18"/>
              </w:rPr>
              <w:t>0.8431</w:t>
            </w:r>
          </w:p>
        </w:tc>
        <w:tc>
          <w:tcPr>
            <w:tcW w:type="dxa" w:w="1211"/>
            <w:shd w:fill="F2F2F2"/>
          </w:tcPr>
          <w:p>
            <w:pPr>
              <w:jc w:val="center"/>
            </w:pPr>
            <w:r/>
            <w:r>
              <w:rPr>
                <w:rFonts w:ascii="Times New Roman" w:hAnsi="Times New Roman"/>
                <w:sz w:val="18"/>
              </w:rPr>
              <w:t>0.8557</w:t>
            </w:r>
          </w:p>
        </w:tc>
        <w:tc>
          <w:tcPr>
            <w:tcW w:type="dxa" w:w="1211"/>
            <w:shd w:fill="F2F2F2"/>
          </w:tcPr>
          <w:p>
            <w:pPr>
              <w:jc w:val="center"/>
            </w:pPr>
            <w:r/>
            <w:r>
              <w:rPr>
                <w:rFonts w:ascii="Times New Roman" w:hAnsi="Times New Roman"/>
                <w:sz w:val="18"/>
              </w:rPr>
              <w:t>0.9137</w:t>
            </w:r>
          </w:p>
        </w:tc>
        <w:tc>
          <w:tcPr>
            <w:tcW w:type="dxa" w:w="1211"/>
            <w:shd w:fill="F2F2F2"/>
          </w:tcPr>
          <w:p>
            <w:pPr>
              <w:jc w:val="center"/>
            </w:pPr>
            <w:r/>
            <w:r>
              <w:rPr>
                <w:rFonts w:ascii="Times New Roman" w:hAnsi="Times New Roman"/>
                <w:sz w:val="18"/>
              </w:rPr>
              <w:t>0.6822</w:t>
            </w:r>
          </w:p>
        </w:tc>
        <w:tc>
          <w:tcPr>
            <w:tcW w:type="dxa" w:w="1211"/>
            <w:shd w:fill="F2F2F2"/>
          </w:tcPr>
          <w:p>
            <w:pPr>
              <w:jc w:val="center"/>
            </w:pPr>
            <w:r/>
            <w:r>
              <w:rPr>
                <w:rFonts w:ascii="Times New Roman" w:hAnsi="Times New Roman"/>
                <w:sz w:val="18"/>
              </w:rPr>
              <w:t>0.6825</w:t>
            </w:r>
          </w:p>
        </w:tc>
      </w:tr>
    </w:tbl>
    <w:p/>
    <w:p>
      <w:pPr>
        <w:spacing w:after="80" w:line="240" w:lineRule="auto"/>
        <w:ind w:firstLine="720"/>
      </w:pPr>
      <w:r>
        <w:rPr>
          <w:rFonts w:ascii="Times New Roman" w:hAnsi="Times New Roman"/>
          <w:sz w:val="20"/>
        </w:rPr>
        <w:t>On the test set, KNN achieved the highest scores across all metrics, with a test ROC-AUC of 0.9448 and F1 of 0.9216. Stacking ranked second with a test ROC-AUC of 0.9341. This reversal from the CV results (where Stacking was the best model) highlights the importance of evaluating models on multiple criteria and not relying solely on a single evaluation split.</w:t>
      </w:r>
    </w:p>
    <w:p>
      <w:pPr>
        <w:spacing w:before="160" w:after="120"/>
      </w:pPr>
      <w:r>
        <w:rPr>
          <w:rFonts w:ascii="Times New Roman" w:hAnsi="Times New Roman"/>
          <w:b/>
          <w:sz w:val="20"/>
        </w:rPr>
        <w:t>4.4. Cross-Validation vs. Test Set Analysis</w:t>
      </w:r>
    </w:p>
    <w:p>
      <w:pPr>
        <w:spacing w:after="80" w:line="240" w:lineRule="auto"/>
        <w:ind w:firstLine="720"/>
      </w:pPr>
      <w:r>
        <w:rPr>
          <w:rFonts w:ascii="Times New Roman" w:hAnsi="Times New Roman"/>
          <w:sz w:val="20"/>
        </w:rPr>
        <w:t>Table 5 shows the gap between cross-validation and test set performance, which serves as an indicator of model stability.</w:t>
      </w:r>
    </w:p>
    <w:p>
      <w:pPr>
        <w:jc w:val="center"/>
      </w:pPr>
      <w:r>
        <w:rPr>
          <w:rFonts w:ascii="Times New Roman" w:hAnsi="Times New Roman"/>
          <w:b/>
          <w:sz w:val="18"/>
        </w:rPr>
        <w:t>Table 5. CV vs. Test Performance Gap</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shd w:fill="D9D9D9"/>
          </w:tcPr>
          <w:p>
            <w:pPr>
              <w:jc w:val="center"/>
            </w:pPr>
            <w:r/>
            <w:r>
              <w:rPr>
                <w:rFonts w:ascii="Times New Roman" w:hAnsi="Times New Roman"/>
                <w:b/>
                <w:sz w:val="18"/>
              </w:rPr>
              <w:t>Model</w:t>
            </w:r>
          </w:p>
        </w:tc>
        <w:tc>
          <w:tcPr>
            <w:tcW w:type="dxa" w:w="1384"/>
            <w:shd w:fill="D9D9D9"/>
          </w:tcPr>
          <w:p>
            <w:pPr>
              <w:jc w:val="center"/>
            </w:pPr>
            <w:r/>
            <w:r>
              <w:rPr>
                <w:rFonts w:ascii="Times New Roman" w:hAnsi="Times New Roman"/>
                <w:b/>
                <w:sz w:val="18"/>
              </w:rPr>
              <w:t>CV ROC-AUC</w:t>
            </w:r>
          </w:p>
        </w:tc>
        <w:tc>
          <w:tcPr>
            <w:tcW w:type="dxa" w:w="1384"/>
            <w:shd w:fill="D9D9D9"/>
          </w:tcPr>
          <w:p>
            <w:pPr>
              <w:jc w:val="center"/>
            </w:pPr>
            <w:r/>
            <w:r>
              <w:rPr>
                <w:rFonts w:ascii="Times New Roman" w:hAnsi="Times New Roman"/>
                <w:b/>
                <w:sz w:val="18"/>
              </w:rPr>
              <w:t>Test ROC-AUC</w:t>
            </w:r>
          </w:p>
        </w:tc>
        <w:tc>
          <w:tcPr>
            <w:tcW w:type="dxa" w:w="1384"/>
            <w:shd w:fill="D9D9D9"/>
          </w:tcPr>
          <w:p>
            <w:pPr>
              <w:jc w:val="center"/>
            </w:pPr>
            <w:r/>
            <w:r>
              <w:rPr>
                <w:rFonts w:ascii="Times New Roman" w:hAnsi="Times New Roman"/>
                <w:b/>
                <w:sz w:val="18"/>
              </w:rPr>
              <w:t>Gap</w:t>
            </w:r>
          </w:p>
        </w:tc>
        <w:tc>
          <w:tcPr>
            <w:tcW w:type="dxa" w:w="1384"/>
            <w:shd w:fill="D9D9D9"/>
          </w:tcPr>
          <w:p>
            <w:pPr>
              <w:jc w:val="center"/>
            </w:pPr>
            <w:r/>
            <w:r>
              <w:rPr>
                <w:rFonts w:ascii="Times New Roman" w:hAnsi="Times New Roman"/>
                <w:b/>
                <w:sz w:val="18"/>
              </w:rPr>
              <w:t>CV F1</w:t>
            </w:r>
          </w:p>
        </w:tc>
        <w:tc>
          <w:tcPr>
            <w:tcW w:type="dxa" w:w="1384"/>
            <w:shd w:fill="D9D9D9"/>
          </w:tcPr>
          <w:p>
            <w:pPr>
              <w:jc w:val="center"/>
            </w:pPr>
            <w:r/>
            <w:r>
              <w:rPr>
                <w:rFonts w:ascii="Times New Roman" w:hAnsi="Times New Roman"/>
                <w:b/>
                <w:sz w:val="18"/>
              </w:rPr>
              <w:t>Test F1</w:t>
            </w:r>
          </w:p>
        </w:tc>
        <w:tc>
          <w:tcPr>
            <w:tcW w:type="dxa" w:w="1384"/>
            <w:shd w:fill="D9D9D9"/>
          </w:tcPr>
          <w:p>
            <w:pPr>
              <w:jc w:val="center"/>
            </w:pPr>
            <w:r/>
            <w:r>
              <w:rPr>
                <w:rFonts w:ascii="Times New Roman" w:hAnsi="Times New Roman"/>
                <w:b/>
                <w:sz w:val="18"/>
              </w:rPr>
              <w:t>Gap</w:t>
            </w:r>
          </w:p>
        </w:tc>
      </w:tr>
      <w:tr>
        <w:tc>
          <w:tcPr>
            <w:tcW w:type="dxa" w:w="1384"/>
          </w:tcPr>
          <w:p>
            <w:pPr>
              <w:jc w:val="center"/>
            </w:pPr>
            <w:r/>
            <w:r>
              <w:rPr>
                <w:rFonts w:ascii="Times New Roman" w:hAnsi="Times New Roman"/>
                <w:sz w:val="18"/>
              </w:rPr>
              <w:t>Stacking</w:t>
            </w:r>
          </w:p>
        </w:tc>
        <w:tc>
          <w:tcPr>
            <w:tcW w:type="dxa" w:w="1384"/>
          </w:tcPr>
          <w:p>
            <w:pPr>
              <w:jc w:val="center"/>
            </w:pPr>
            <w:r/>
            <w:r>
              <w:rPr>
                <w:rFonts w:ascii="Times New Roman" w:hAnsi="Times New Roman"/>
                <w:sz w:val="18"/>
              </w:rPr>
              <w:t>0.9296</w:t>
            </w:r>
          </w:p>
        </w:tc>
        <w:tc>
          <w:tcPr>
            <w:tcW w:type="dxa" w:w="1384"/>
          </w:tcPr>
          <w:p>
            <w:pPr>
              <w:jc w:val="center"/>
            </w:pPr>
            <w:r/>
            <w:r>
              <w:rPr>
                <w:rFonts w:ascii="Times New Roman" w:hAnsi="Times New Roman"/>
                <w:sz w:val="18"/>
              </w:rPr>
              <w:t>0.9341</w:t>
            </w:r>
          </w:p>
        </w:tc>
        <w:tc>
          <w:tcPr>
            <w:tcW w:type="dxa" w:w="1384"/>
          </w:tcPr>
          <w:p>
            <w:pPr>
              <w:jc w:val="center"/>
            </w:pPr>
            <w:r/>
            <w:r>
              <w:rPr>
                <w:rFonts w:ascii="Times New Roman" w:hAnsi="Times New Roman"/>
                <w:sz w:val="18"/>
              </w:rPr>
              <w:t>+0.0045</w:t>
            </w:r>
          </w:p>
        </w:tc>
        <w:tc>
          <w:tcPr>
            <w:tcW w:type="dxa" w:w="1384"/>
          </w:tcPr>
          <w:p>
            <w:pPr>
              <w:jc w:val="center"/>
            </w:pPr>
            <w:r/>
            <w:r>
              <w:rPr>
                <w:rFonts w:ascii="Times New Roman" w:hAnsi="Times New Roman"/>
                <w:sz w:val="18"/>
              </w:rPr>
              <w:t>0.8737</w:t>
            </w:r>
          </w:p>
        </w:tc>
        <w:tc>
          <w:tcPr>
            <w:tcW w:type="dxa" w:w="1384"/>
          </w:tcPr>
          <w:p>
            <w:pPr>
              <w:jc w:val="center"/>
            </w:pPr>
            <w:r/>
            <w:r>
              <w:rPr>
                <w:rFonts w:ascii="Times New Roman" w:hAnsi="Times New Roman"/>
                <w:sz w:val="18"/>
              </w:rPr>
              <w:t>0.8976</w:t>
            </w:r>
          </w:p>
        </w:tc>
        <w:tc>
          <w:tcPr>
            <w:tcW w:type="dxa" w:w="1384"/>
          </w:tcPr>
          <w:p>
            <w:pPr>
              <w:jc w:val="center"/>
            </w:pPr>
            <w:r/>
            <w:r>
              <w:rPr>
                <w:rFonts w:ascii="Times New Roman" w:hAnsi="Times New Roman"/>
                <w:sz w:val="18"/>
              </w:rPr>
              <w:t>+0.0239</w:t>
            </w:r>
          </w:p>
        </w:tc>
      </w:tr>
      <w:tr>
        <w:tc>
          <w:tcPr>
            <w:tcW w:type="dxa" w:w="1384"/>
            <w:shd w:fill="F2F2F2"/>
          </w:tcPr>
          <w:p>
            <w:pPr>
              <w:jc w:val="center"/>
            </w:pPr>
            <w:r/>
            <w:r>
              <w:rPr>
                <w:rFonts w:ascii="Times New Roman" w:hAnsi="Times New Roman"/>
                <w:sz w:val="18"/>
              </w:rPr>
              <w:t>Random Forest</w:t>
            </w:r>
          </w:p>
        </w:tc>
        <w:tc>
          <w:tcPr>
            <w:tcW w:type="dxa" w:w="1384"/>
            <w:shd w:fill="F2F2F2"/>
          </w:tcPr>
          <w:p>
            <w:pPr>
              <w:jc w:val="center"/>
            </w:pPr>
            <w:r/>
            <w:r>
              <w:rPr>
                <w:rFonts w:ascii="Times New Roman" w:hAnsi="Times New Roman"/>
                <w:sz w:val="18"/>
              </w:rPr>
              <w:t>0.9275</w:t>
            </w:r>
          </w:p>
        </w:tc>
        <w:tc>
          <w:tcPr>
            <w:tcW w:type="dxa" w:w="1384"/>
            <w:shd w:fill="F2F2F2"/>
          </w:tcPr>
          <w:p>
            <w:pPr>
              <w:jc w:val="center"/>
            </w:pPr>
            <w:r/>
            <w:r>
              <w:rPr>
                <w:rFonts w:ascii="Times New Roman" w:hAnsi="Times New Roman"/>
                <w:sz w:val="18"/>
              </w:rPr>
              <w:t>0.9306</w:t>
            </w:r>
          </w:p>
        </w:tc>
        <w:tc>
          <w:tcPr>
            <w:tcW w:type="dxa" w:w="1384"/>
            <w:shd w:fill="F2F2F2"/>
          </w:tcPr>
          <w:p>
            <w:pPr>
              <w:jc w:val="center"/>
            </w:pPr>
            <w:r/>
            <w:r>
              <w:rPr>
                <w:rFonts w:ascii="Times New Roman" w:hAnsi="Times New Roman"/>
                <w:sz w:val="18"/>
              </w:rPr>
              <w:t>+0.0031</w:t>
            </w:r>
          </w:p>
        </w:tc>
        <w:tc>
          <w:tcPr>
            <w:tcW w:type="dxa" w:w="1384"/>
            <w:shd w:fill="F2F2F2"/>
          </w:tcPr>
          <w:p>
            <w:pPr>
              <w:jc w:val="center"/>
            </w:pPr>
            <w:r/>
            <w:r>
              <w:rPr>
                <w:rFonts w:ascii="Times New Roman" w:hAnsi="Times New Roman"/>
                <w:sz w:val="18"/>
              </w:rPr>
              <w:t>0.8736</w:t>
            </w:r>
          </w:p>
        </w:tc>
        <w:tc>
          <w:tcPr>
            <w:tcW w:type="dxa" w:w="1384"/>
            <w:shd w:fill="F2F2F2"/>
          </w:tcPr>
          <w:p>
            <w:pPr>
              <w:jc w:val="center"/>
            </w:pPr>
            <w:r/>
            <w:r>
              <w:rPr>
                <w:rFonts w:ascii="Times New Roman" w:hAnsi="Times New Roman"/>
                <w:sz w:val="18"/>
              </w:rPr>
              <w:t>0.8986</w:t>
            </w:r>
          </w:p>
        </w:tc>
        <w:tc>
          <w:tcPr>
            <w:tcW w:type="dxa" w:w="1384"/>
            <w:shd w:fill="F2F2F2"/>
          </w:tcPr>
          <w:p>
            <w:pPr>
              <w:jc w:val="center"/>
            </w:pPr>
            <w:r/>
            <w:r>
              <w:rPr>
                <w:rFonts w:ascii="Times New Roman" w:hAnsi="Times New Roman"/>
                <w:sz w:val="18"/>
              </w:rPr>
              <w:t>+0.0249</w:t>
            </w:r>
          </w:p>
        </w:tc>
      </w:tr>
      <w:tr>
        <w:tc>
          <w:tcPr>
            <w:tcW w:type="dxa" w:w="1384"/>
          </w:tcPr>
          <w:p>
            <w:pPr>
              <w:jc w:val="center"/>
            </w:pPr>
            <w:r/>
            <w:r>
              <w:rPr>
                <w:rFonts w:ascii="Times New Roman" w:hAnsi="Times New Roman"/>
                <w:sz w:val="18"/>
              </w:rPr>
              <w:t>Logistic Reg.</w:t>
            </w:r>
          </w:p>
        </w:tc>
        <w:tc>
          <w:tcPr>
            <w:tcW w:type="dxa" w:w="1384"/>
          </w:tcPr>
          <w:p>
            <w:pPr>
              <w:jc w:val="center"/>
            </w:pPr>
            <w:r/>
            <w:r>
              <w:rPr>
                <w:rFonts w:ascii="Times New Roman" w:hAnsi="Times New Roman"/>
                <w:sz w:val="18"/>
              </w:rPr>
              <w:t>0.9221</w:t>
            </w:r>
          </w:p>
        </w:tc>
        <w:tc>
          <w:tcPr>
            <w:tcW w:type="dxa" w:w="1384"/>
          </w:tcPr>
          <w:p>
            <w:pPr>
              <w:jc w:val="center"/>
            </w:pPr>
            <w:r/>
            <w:r>
              <w:rPr>
                <w:rFonts w:ascii="Times New Roman" w:hAnsi="Times New Roman"/>
                <w:sz w:val="18"/>
              </w:rPr>
              <w:t>0.9321</w:t>
            </w:r>
          </w:p>
        </w:tc>
        <w:tc>
          <w:tcPr>
            <w:tcW w:type="dxa" w:w="1384"/>
          </w:tcPr>
          <w:p>
            <w:pPr>
              <w:jc w:val="center"/>
            </w:pPr>
            <w:r/>
            <w:r>
              <w:rPr>
                <w:rFonts w:ascii="Times New Roman" w:hAnsi="Times New Roman"/>
                <w:sz w:val="18"/>
              </w:rPr>
              <w:t>+0.0099</w:t>
            </w:r>
          </w:p>
        </w:tc>
        <w:tc>
          <w:tcPr>
            <w:tcW w:type="dxa" w:w="1384"/>
          </w:tcPr>
          <w:p>
            <w:pPr>
              <w:jc w:val="center"/>
            </w:pPr>
            <w:r/>
            <w:r>
              <w:rPr>
                <w:rFonts w:ascii="Times New Roman" w:hAnsi="Times New Roman"/>
                <w:sz w:val="18"/>
              </w:rPr>
              <w:t>0.8516</w:t>
            </w:r>
          </w:p>
        </w:tc>
        <w:tc>
          <w:tcPr>
            <w:tcW w:type="dxa" w:w="1384"/>
          </w:tcPr>
          <w:p>
            <w:pPr>
              <w:jc w:val="center"/>
            </w:pPr>
            <w:r/>
            <w:r>
              <w:rPr>
                <w:rFonts w:ascii="Times New Roman" w:hAnsi="Times New Roman"/>
                <w:sz w:val="18"/>
              </w:rPr>
              <w:t>0.8856</w:t>
            </w:r>
          </w:p>
        </w:tc>
        <w:tc>
          <w:tcPr>
            <w:tcW w:type="dxa" w:w="1384"/>
          </w:tcPr>
          <w:p>
            <w:pPr>
              <w:jc w:val="center"/>
            </w:pPr>
            <w:r/>
            <w:r>
              <w:rPr>
                <w:rFonts w:ascii="Times New Roman" w:hAnsi="Times New Roman"/>
                <w:sz w:val="18"/>
              </w:rPr>
              <w:t>+0.0340</w:t>
            </w:r>
          </w:p>
        </w:tc>
      </w:tr>
      <w:tr>
        <w:tc>
          <w:tcPr>
            <w:tcW w:type="dxa" w:w="1384"/>
            <w:shd w:fill="F2F2F2"/>
          </w:tcPr>
          <w:p>
            <w:pPr>
              <w:jc w:val="center"/>
            </w:pPr>
            <w:r/>
            <w:r>
              <w:rPr>
                <w:rFonts w:ascii="Times New Roman" w:hAnsi="Times New Roman"/>
                <w:sz w:val="18"/>
              </w:rPr>
              <w:t>Gradient Boost</w:t>
            </w:r>
          </w:p>
        </w:tc>
        <w:tc>
          <w:tcPr>
            <w:tcW w:type="dxa" w:w="1384"/>
            <w:shd w:fill="F2F2F2"/>
          </w:tcPr>
          <w:p>
            <w:pPr>
              <w:jc w:val="center"/>
            </w:pPr>
            <w:r/>
            <w:r>
              <w:rPr>
                <w:rFonts w:ascii="Times New Roman" w:hAnsi="Times New Roman"/>
                <w:sz w:val="18"/>
              </w:rPr>
              <w:t>0.9186</w:t>
            </w:r>
          </w:p>
        </w:tc>
        <w:tc>
          <w:tcPr>
            <w:tcW w:type="dxa" w:w="1384"/>
            <w:shd w:fill="F2F2F2"/>
          </w:tcPr>
          <w:p>
            <w:pPr>
              <w:jc w:val="center"/>
            </w:pPr>
            <w:r/>
            <w:r>
              <w:rPr>
                <w:rFonts w:ascii="Times New Roman" w:hAnsi="Times New Roman"/>
                <w:sz w:val="18"/>
              </w:rPr>
              <w:t>0.9142</w:t>
            </w:r>
          </w:p>
        </w:tc>
        <w:tc>
          <w:tcPr>
            <w:tcW w:type="dxa" w:w="1384"/>
            <w:shd w:fill="F2F2F2"/>
          </w:tcPr>
          <w:p>
            <w:pPr>
              <w:jc w:val="center"/>
            </w:pPr>
            <w:r/>
            <w:r>
              <w:rPr>
                <w:rFonts w:ascii="Times New Roman" w:hAnsi="Times New Roman"/>
                <w:sz w:val="18"/>
              </w:rPr>
              <w:t>-0.0045</w:t>
            </w:r>
          </w:p>
        </w:tc>
        <w:tc>
          <w:tcPr>
            <w:tcW w:type="dxa" w:w="1384"/>
            <w:shd w:fill="F2F2F2"/>
          </w:tcPr>
          <w:p>
            <w:pPr>
              <w:jc w:val="center"/>
            </w:pPr>
            <w:r/>
            <w:r>
              <w:rPr>
                <w:rFonts w:ascii="Times New Roman" w:hAnsi="Times New Roman"/>
                <w:sz w:val="18"/>
              </w:rPr>
              <w:t>0.8732</w:t>
            </w:r>
          </w:p>
        </w:tc>
        <w:tc>
          <w:tcPr>
            <w:tcW w:type="dxa" w:w="1384"/>
            <w:shd w:fill="F2F2F2"/>
          </w:tcPr>
          <w:p>
            <w:pPr>
              <w:jc w:val="center"/>
            </w:pPr>
            <w:r/>
            <w:r>
              <w:rPr>
                <w:rFonts w:ascii="Times New Roman" w:hAnsi="Times New Roman"/>
                <w:sz w:val="18"/>
              </w:rPr>
              <w:t>0.8812</w:t>
            </w:r>
          </w:p>
        </w:tc>
        <w:tc>
          <w:tcPr>
            <w:tcW w:type="dxa" w:w="1384"/>
            <w:shd w:fill="F2F2F2"/>
          </w:tcPr>
          <w:p>
            <w:pPr>
              <w:jc w:val="center"/>
            </w:pPr>
            <w:r/>
            <w:r>
              <w:rPr>
                <w:rFonts w:ascii="Times New Roman" w:hAnsi="Times New Roman"/>
                <w:sz w:val="18"/>
              </w:rPr>
              <w:t>+0.0080</w:t>
            </w:r>
          </w:p>
        </w:tc>
      </w:tr>
      <w:tr>
        <w:tc>
          <w:tcPr>
            <w:tcW w:type="dxa" w:w="1384"/>
          </w:tcPr>
          <w:p>
            <w:pPr>
              <w:jc w:val="center"/>
            </w:pPr>
            <w:r/>
            <w:r>
              <w:rPr>
                <w:rFonts w:ascii="Times New Roman" w:hAnsi="Times New Roman"/>
                <w:sz w:val="18"/>
              </w:rPr>
              <w:t>KNN</w:t>
            </w:r>
          </w:p>
        </w:tc>
        <w:tc>
          <w:tcPr>
            <w:tcW w:type="dxa" w:w="1384"/>
          </w:tcPr>
          <w:p>
            <w:pPr>
              <w:jc w:val="center"/>
            </w:pPr>
            <w:r/>
            <w:r>
              <w:rPr>
                <w:rFonts w:ascii="Times New Roman" w:hAnsi="Times New Roman"/>
                <w:sz w:val="18"/>
              </w:rPr>
              <w:t>0.9141</w:t>
            </w:r>
          </w:p>
        </w:tc>
        <w:tc>
          <w:tcPr>
            <w:tcW w:type="dxa" w:w="1384"/>
          </w:tcPr>
          <w:p>
            <w:pPr>
              <w:jc w:val="center"/>
            </w:pPr>
            <w:r/>
            <w:r>
              <w:rPr>
                <w:rFonts w:ascii="Times New Roman" w:hAnsi="Times New Roman"/>
                <w:sz w:val="18"/>
              </w:rPr>
              <w:t>0.9448</w:t>
            </w:r>
          </w:p>
        </w:tc>
        <w:tc>
          <w:tcPr>
            <w:tcW w:type="dxa" w:w="1384"/>
          </w:tcPr>
          <w:p>
            <w:pPr>
              <w:jc w:val="center"/>
            </w:pPr>
            <w:r/>
            <w:r>
              <w:rPr>
                <w:rFonts w:ascii="Times New Roman" w:hAnsi="Times New Roman"/>
                <w:sz w:val="18"/>
              </w:rPr>
              <w:t>+0.0307</w:t>
            </w:r>
          </w:p>
        </w:tc>
        <w:tc>
          <w:tcPr>
            <w:tcW w:type="dxa" w:w="1384"/>
          </w:tcPr>
          <w:p>
            <w:pPr>
              <w:jc w:val="center"/>
            </w:pPr>
            <w:r/>
            <w:r>
              <w:rPr>
                <w:rFonts w:ascii="Times New Roman" w:hAnsi="Times New Roman"/>
                <w:sz w:val="18"/>
              </w:rPr>
              <w:t>0.8775</w:t>
            </w:r>
          </w:p>
        </w:tc>
        <w:tc>
          <w:tcPr>
            <w:tcW w:type="dxa" w:w="1384"/>
          </w:tcPr>
          <w:p>
            <w:pPr>
              <w:jc w:val="center"/>
            </w:pPr>
            <w:r/>
            <w:r>
              <w:rPr>
                <w:rFonts w:ascii="Times New Roman" w:hAnsi="Times New Roman"/>
                <w:sz w:val="18"/>
              </w:rPr>
              <w:t>0.9216</w:t>
            </w:r>
          </w:p>
        </w:tc>
        <w:tc>
          <w:tcPr>
            <w:tcW w:type="dxa" w:w="1384"/>
          </w:tcPr>
          <w:p>
            <w:pPr>
              <w:jc w:val="center"/>
            </w:pPr>
            <w:r/>
            <w:r>
              <w:rPr>
                <w:rFonts w:ascii="Times New Roman" w:hAnsi="Times New Roman"/>
                <w:sz w:val="18"/>
              </w:rPr>
              <w:t>+0.0441</w:t>
            </w:r>
          </w:p>
        </w:tc>
      </w:tr>
      <w:tr>
        <w:tc>
          <w:tcPr>
            <w:tcW w:type="dxa" w:w="1384"/>
            <w:shd w:fill="F2F2F2"/>
          </w:tcPr>
          <w:p>
            <w:pPr>
              <w:jc w:val="center"/>
            </w:pPr>
            <w:r/>
            <w:r>
              <w:rPr>
                <w:rFonts w:ascii="Times New Roman" w:hAnsi="Times New Roman"/>
                <w:sz w:val="18"/>
              </w:rPr>
              <w:t>SVM (RBF)</w:t>
            </w:r>
          </w:p>
        </w:tc>
        <w:tc>
          <w:tcPr>
            <w:tcW w:type="dxa" w:w="1384"/>
            <w:shd w:fill="F2F2F2"/>
          </w:tcPr>
          <w:p>
            <w:pPr>
              <w:jc w:val="center"/>
            </w:pPr>
            <w:r/>
            <w:r>
              <w:rPr>
                <w:rFonts w:ascii="Times New Roman" w:hAnsi="Times New Roman"/>
                <w:sz w:val="18"/>
              </w:rPr>
              <w:t>0.9003</w:t>
            </w:r>
          </w:p>
        </w:tc>
        <w:tc>
          <w:tcPr>
            <w:tcW w:type="dxa" w:w="1384"/>
            <w:shd w:fill="F2F2F2"/>
          </w:tcPr>
          <w:p>
            <w:pPr>
              <w:jc w:val="center"/>
            </w:pPr>
            <w:r/>
            <w:r>
              <w:rPr>
                <w:rFonts w:ascii="Times New Roman" w:hAnsi="Times New Roman"/>
                <w:sz w:val="18"/>
              </w:rPr>
              <w:t>0.9137</w:t>
            </w:r>
          </w:p>
        </w:tc>
        <w:tc>
          <w:tcPr>
            <w:tcW w:type="dxa" w:w="1384"/>
            <w:shd w:fill="F2F2F2"/>
          </w:tcPr>
          <w:p>
            <w:pPr>
              <w:jc w:val="center"/>
            </w:pPr>
            <w:r/>
            <w:r>
              <w:rPr>
                <w:rFonts w:ascii="Times New Roman" w:hAnsi="Times New Roman"/>
                <w:sz w:val="18"/>
              </w:rPr>
              <w:t>+0.0134</w:t>
            </w:r>
          </w:p>
        </w:tc>
        <w:tc>
          <w:tcPr>
            <w:tcW w:type="dxa" w:w="1384"/>
            <w:shd w:fill="F2F2F2"/>
          </w:tcPr>
          <w:p>
            <w:pPr>
              <w:jc w:val="center"/>
            </w:pPr>
            <w:r/>
            <w:r>
              <w:rPr>
                <w:rFonts w:ascii="Times New Roman" w:hAnsi="Times New Roman"/>
                <w:sz w:val="18"/>
              </w:rPr>
              <w:t>0.8445</w:t>
            </w:r>
          </w:p>
        </w:tc>
        <w:tc>
          <w:tcPr>
            <w:tcW w:type="dxa" w:w="1384"/>
            <w:shd w:fill="F2F2F2"/>
          </w:tcPr>
          <w:p>
            <w:pPr>
              <w:jc w:val="center"/>
            </w:pPr>
            <w:r/>
            <w:r>
              <w:rPr>
                <w:rFonts w:ascii="Times New Roman" w:hAnsi="Times New Roman"/>
                <w:sz w:val="18"/>
              </w:rPr>
              <w:t>0.8557</w:t>
            </w:r>
          </w:p>
        </w:tc>
        <w:tc>
          <w:tcPr>
            <w:tcW w:type="dxa" w:w="1384"/>
            <w:shd w:fill="F2F2F2"/>
          </w:tcPr>
          <w:p>
            <w:pPr>
              <w:jc w:val="center"/>
            </w:pPr>
            <w:r/>
            <w:r>
              <w:rPr>
                <w:rFonts w:ascii="Times New Roman" w:hAnsi="Times New Roman"/>
                <w:sz w:val="18"/>
              </w:rPr>
              <w:t>+0.0112</w:t>
            </w:r>
          </w:p>
        </w:tc>
      </w:tr>
    </w:tbl>
    <w:p/>
    <w:p>
      <w:pPr>
        <w:spacing w:after="80" w:line="240" w:lineRule="auto"/>
        <w:ind w:firstLine="720"/>
      </w:pPr>
      <w:r>
        <w:rPr>
          <w:rFonts w:ascii="Times New Roman" w:hAnsi="Times New Roman"/>
          <w:sz w:val="20"/>
        </w:rPr>
        <w:t>The CV vs. test gap analysis reveals important insights about model stability. Stacking and Random Forest showed the smallest ROC-AUC gaps (+0.0045 and +0.0031 respectively), indicating that their cross-validation performance was highly representative of their generalization ability. KNN, despite having the highest test ROC-AUC, exhibited a larger gap of +0.0307, suggesting its performance may be less predictable across different data splits. Gradient Boosting is notable for having a negative gap (-0.0045), meaning it performed slightly worse on the test set than on average during cross-validation, which is expected behavior and indicates no overfitting.</w:t>
      </w:r>
    </w:p>
    <w:p>
      <w:pPr>
        <w:spacing w:after="80" w:line="240" w:lineRule="auto"/>
        <w:ind w:firstLine="720"/>
      </w:pPr>
      <w:r>
        <w:rPr>
          <w:rFonts w:ascii="Times New Roman" w:hAnsi="Times New Roman"/>
          <w:sz w:val="20"/>
        </w:rPr>
        <w:t>This analysis demonstrates that the best model is not necessarily the one with the highest score, but the one that is most consistent and reliable across different evaluation settings.</w:t>
      </w:r>
    </w:p>
    <w:p>
      <w:pPr>
        <w:spacing w:before="160" w:after="120"/>
      </w:pPr>
      <w:r>
        <w:rPr>
          <w:rFonts w:ascii="Times New Roman" w:hAnsi="Times New Roman"/>
          <w:b/>
          <w:sz w:val="20"/>
        </w:rPr>
        <w:t>4.5. Improvements over the Original Methodology</w:t>
      </w:r>
    </w:p>
    <w:p>
      <w:pPr>
        <w:spacing w:after="80" w:line="240" w:lineRule="auto"/>
        <w:ind w:firstLine="720"/>
      </w:pPr>
      <w:r>
        <w:rPr>
          <w:rFonts w:ascii="Times New Roman" w:hAnsi="Times New Roman"/>
          <w:sz w:val="20"/>
        </w:rPr>
        <w:t>Task 3 introduced several methodological improvements over the original paper and Task 2 replication:</w:t>
      </w:r>
    </w:p>
    <w:p>
      <w:pPr>
        <w:spacing w:after="80" w:line="240" w:lineRule="auto"/>
        <w:ind w:firstLine="720"/>
      </w:pPr>
      <w:r>
        <w:rPr>
          <w:rFonts w:ascii="Times New Roman" w:hAnsi="Times New Roman"/>
          <w:sz w:val="20"/>
        </w:rPr>
        <w:t>Data quality assurance: Task 2 used the dataset as-is, but Task 3 identified and addressed 272 duplicate records and medically implausible values (e.g., cholesterol = 0). These issues, if left unaddressed, could lead to inflated or misleading model performance.</w:t>
      </w:r>
    </w:p>
    <w:p>
      <w:pPr>
        <w:spacing w:after="80" w:line="240" w:lineRule="auto"/>
        <w:ind w:firstLine="720"/>
      </w:pPr>
      <w:r>
        <w:rPr>
          <w:rFonts w:ascii="Times New Roman" w:hAnsi="Times New Roman"/>
          <w:sz w:val="20"/>
        </w:rPr>
        <w:t>EDA-driven preprocessing: In Task 2, preprocessing decisions were largely based on convention. In Task 3, every preprocessing step was justified by EDA findings: median imputation was chosen because of right-skewed distributions, RobustScaler was selected because of detected outliers, and One-Hot Encoding was applied because Spearman correlation analysis confirmed that numerically-encoded categorical features should not be treated as ordinal.</w:t>
      </w:r>
    </w:p>
    <w:p>
      <w:pPr>
        <w:spacing w:after="80" w:line="240" w:lineRule="auto"/>
        <w:ind w:firstLine="720"/>
      </w:pPr>
      <w:r>
        <w:rPr>
          <w:rFonts w:ascii="Times New Roman" w:hAnsi="Times New Roman"/>
          <w:sz w:val="20"/>
        </w:rPr>
        <w:t>Stratified Cross-Validation: Task 2 relied on a single train-test split for final evaluation. Task 3 employed Stratified 5-Fold Cross-Validation, which provides a more reliable estimate of generalization performance by averaging results across multiple data splits while maintaining class proportions in each fold.</w:t>
      </w:r>
    </w:p>
    <w:p>
      <w:pPr>
        <w:spacing w:after="80" w:line="240" w:lineRule="auto"/>
        <w:ind w:firstLine="720"/>
      </w:pPr>
      <w:r>
        <w:rPr>
          <w:rFonts w:ascii="Times New Roman" w:hAnsi="Times New Roman"/>
          <w:sz w:val="20"/>
        </w:rPr>
        <w:t>Stability analysis: Task 3 introduced a CV vs. test gap analysis, which was not present in either the original paper or Task 2. This analysis provides additional insight into which models generalize most reliably and helps identify models that may be overfitting to particular data splits.</w:t>
      </w:r>
    </w:p>
    <w:p>
      <w:pPr>
        <w:spacing w:before="240" w:after="120"/>
      </w:pPr>
      <w:r>
        <w:rPr>
          <w:rFonts w:ascii="Times New Roman" w:hAnsi="Times New Roman"/>
          <w:b/>
          <w:sz w:val="20"/>
        </w:rPr>
        <w:t>5. CONCLUSION AND FUTURE WORKS</w:t>
      </w:r>
    </w:p>
    <w:p>
      <w:pPr>
        <w:spacing w:after="80" w:line="240" w:lineRule="auto"/>
        <w:ind w:firstLine="720"/>
      </w:pPr>
      <w:r>
        <w:rPr>
          <w:rFonts w:ascii="Times New Roman" w:hAnsi="Times New Roman"/>
          <w:sz w:val="20"/>
        </w:rPr>
        <w:t>This project conducted a comprehensive study on heart disease prediction using machine learning, progressing through literature review, methodology replication, and methodological improvement. The following conclusions can be drawn:</w:t>
      </w:r>
    </w:p>
    <w:p>
      <w:pPr>
        <w:spacing w:after="80" w:line="240" w:lineRule="auto"/>
        <w:ind w:firstLine="720"/>
      </w:pPr>
      <w:r>
        <w:rPr>
          <w:rFonts w:ascii="Times New Roman" w:hAnsi="Times New Roman"/>
          <w:sz w:val="20"/>
        </w:rPr>
        <w:t>First, ensemble methods consistently outperform individual classifiers for heart disease prediction. Stacking achieved the highest cross-validation ROC-AUC (0.9296), while KNN achieved the highest test ROC-AUC (0.9448). Both Stacking and Random Forest demonstrated the most stable performance across evaluation settings, with minimal CV-test performance gaps.</w:t>
      </w:r>
    </w:p>
    <w:p>
      <w:pPr>
        <w:spacing w:after="80" w:line="240" w:lineRule="auto"/>
        <w:ind w:firstLine="720"/>
      </w:pPr>
      <w:r>
        <w:rPr>
          <w:rFonts w:ascii="Times New Roman" w:hAnsi="Times New Roman"/>
          <w:sz w:val="20"/>
        </w:rPr>
        <w:t>Second, data quality has a significant impact on model evaluation. The removal of duplicate records and recoding of invalid values in Task 3 resulted in a cleaner dataset that produces more reliable model assessments. EDA-driven preprocessing decisions, such as choosing RobustScaler over StandardScaler and median over mean imputation, were validated by the improved and more consistent results.</w:t>
      </w:r>
    </w:p>
    <w:p>
      <w:pPr>
        <w:spacing w:after="80" w:line="240" w:lineRule="auto"/>
        <w:ind w:firstLine="720"/>
      </w:pPr>
      <w:r>
        <w:rPr>
          <w:rFonts w:ascii="Times New Roman" w:hAnsi="Times New Roman"/>
          <w:sz w:val="20"/>
        </w:rPr>
        <w:t>Third, cross-validation provides a more reliable evaluation framework than a single train-test split. The CV vs. test gap analysis revealed that models with the highest single-split scores are not necessarily the most reliable, emphasizing the importance of multiple evaluation perspectives in medical prediction tasks.</w:t>
      </w:r>
    </w:p>
    <w:p>
      <w:pPr>
        <w:spacing w:after="80" w:line="240" w:lineRule="auto"/>
        <w:ind w:firstLine="720"/>
      </w:pPr>
      <w:r>
        <w:rPr>
          <w:rFonts w:ascii="Times New Roman" w:hAnsi="Times New Roman"/>
          <w:sz w:val="20"/>
        </w:rPr>
        <w:t>The main limitations of this study include: (1) the dataset, while comprehensive, is still relatively small after preprocessing (918 records), which may limit the generalizability of findings to larger or more diverse populations; (2) the feature set does not include more advanced clinical measurements such as echocardiogram results or blood biomarkers beyond cholesterol; (3) the study focused on binary classification and did not explore multi-class severity prediction.</w:t>
      </w:r>
    </w:p>
    <w:p>
      <w:pPr>
        <w:spacing w:after="80" w:line="240" w:lineRule="auto"/>
        <w:ind w:firstLine="720"/>
      </w:pPr>
      <w:r>
        <w:rPr>
          <w:rFonts w:ascii="Times New Roman" w:hAnsi="Times New Roman"/>
          <w:sz w:val="20"/>
        </w:rPr>
        <w:t>Future work could explore the following directions: (1) applying more advanced ensemble techniques such as XGBoost, LightGBM, or neural network-based stacking; (2) incorporating feature selection methods to identify the most predictive clinical features; (3) applying the methodology to larger and more diverse heart disease datasets; (4) exploring interpretable machine learning techniques (SHAP, LIME) to provide clinical insights into model predictions; (5) developing a real-time prediction system integrated with electronic health records for clinical decision support.</w:t>
      </w:r>
    </w:p>
    <w:p>
      <w:pPr>
        <w:spacing w:before="240" w:after="120"/>
      </w:pPr>
      <w:r>
        <w:rPr>
          <w:rFonts w:ascii="Times New Roman" w:hAnsi="Times New Roman"/>
          <w:b/>
          <w:sz w:val="20"/>
        </w:rPr>
        <w:t>REFERENCES</w:t>
      </w:r>
    </w:p>
    <w:p>
      <w:pPr>
        <w:spacing w:after="60"/>
      </w:pPr>
      <w:r>
        <w:rPr>
          <w:rFonts w:ascii="Times New Roman" w:hAnsi="Times New Roman"/>
          <w:sz w:val="18"/>
        </w:rPr>
        <w:t>[1] S. Arshad, S. M. J. Zaidi, M. Ali, M. U. Hashmi, A. Mannan, and A. Ahmad, "A Comparative Study of Machine Learning Models for Heart Disease Prediction Using Grid Search and Random Search for Hyperparameter Tuning," Journal of Computing and Biomedical Informatics, vol. 8, no. 1, 2024.</w:t>
      </w:r>
    </w:p>
    <w:p>
      <w:pPr>
        <w:spacing w:after="60"/>
      </w:pPr>
      <w:r>
        <w:rPr>
          <w:rFonts w:ascii="Times New Roman" w:hAnsi="Times New Roman"/>
          <w:sz w:val="18"/>
        </w:rPr>
        <w:t>[2] I. D. Mienye and N. Jere, "Optimized Ensemble Learning Approach with Explainable AI for Improved Heart Disease Prediction," Information, vol. 15, no. 7, Art. no. 394, Jul. 2024, doi: 10.3390/info15070394.</w:t>
      </w:r>
    </w:p>
    <w:p>
      <w:pPr>
        <w:spacing w:after="60"/>
      </w:pPr>
      <w:r>
        <w:rPr>
          <w:rFonts w:ascii="Times New Roman" w:hAnsi="Times New Roman"/>
          <w:sz w:val="18"/>
        </w:rPr>
        <w:t>[3] A. Pfob, S.-C. Lu, and C. Sidey-Gibbons, "Machine learning in medicine: a practical introduction to techniques for data pre-processing, hyperparameter tuning, and model comparison," BMC Medical Research Methodology, vol. 22, Art. no. 282, Nov. 2022, doi: 10.1186/s12874-022-01707-3.</w:t>
      </w:r>
    </w:p>
    <w:p>
      <w:pPr>
        <w:spacing w:after="60"/>
      </w:pPr>
      <w:r>
        <w:rPr>
          <w:rFonts w:ascii="Times New Roman" w:hAnsi="Times New Roman"/>
          <w:sz w:val="18"/>
        </w:rPr>
        <w:t>[4] J. H. Friedman, "Greedy Function Approximation: A Gradient Boosting Machine," The Annals of Statistics, vol. 29, no. 5, pp. 1189-1232, Oct. 2001.</w:t>
      </w:r>
    </w:p>
    <w:p>
      <w:pPr>
        <w:spacing w:after="60"/>
      </w:pPr>
      <w:r>
        <w:rPr>
          <w:rFonts w:ascii="Times New Roman" w:hAnsi="Times New Roman"/>
          <w:sz w:val="18"/>
        </w:rPr>
        <w:t>[5] N. Salet, A. Gökdemir, J. Preijde, C. H. van Heck, and F. Eijkenaar, "Using machine learning to predict acute myocardial infarction and ischemic heart disease in primary care cardiovascular patients," PLOS ONE, vol. 19, no. 7, Art. no. e0307099, Jul. 2024, doi: 10.1371/journal.pone.0307099.</w:t>
      </w:r>
    </w:p>
    <w:p>
      <w:pPr>
        <w:spacing w:after="60"/>
      </w:pPr>
      <w:r>
        <w:rPr>
          <w:rFonts w:ascii="Times New Roman" w:hAnsi="Times New Roman"/>
          <w:sz w:val="18"/>
        </w:rPr>
        <w:t>[6] H. A. Al-Alshaikh et al., "Comprehensive evaluation and performance analysis of machine learning in heart disease prediction," Scientific Reports, vol. 14, Art. no. 7819, Apr. 2024, doi: 10.1038/s41598-024-58489-7.</w:t>
      </w:r>
    </w:p>
    <w:p>
      <w:pPr>
        <w:spacing w:after="60"/>
      </w:pPr>
      <w:r>
        <w:rPr>
          <w:rFonts w:ascii="Times New Roman" w:hAnsi="Times New Roman"/>
          <w:sz w:val="18"/>
        </w:rPr>
        <w:t>[7] H. Khan, N. Javaid, T. Bashir, M. Akbar, A. Alrajeh, and S. Aslam, "Heart disease prediction using novel Ensemble and Blending based Cardiovascular Disease Detection Networks: EnsCVDD-Net and BlCVDD-Net," IEEE Access, vol. 12, pp. 109230-109254, Jul. 2024, doi: 10.1109/access.2024.3421241.</w:t>
      </w:r>
    </w:p>
    <w:sectPr w:rsidR="00FC693F" w:rsidRPr="0006063C" w:rsidSect="00034616">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