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p w14:paraId="02000000">
      <w:pPr>
        <w:ind w:firstLine="709" w:left="0"/>
        <w:contextualSpacing w:val="1"/>
        <w:jc w:val="right"/>
        <w:rPr>
          <w:color w:val="000000"/>
        </w:rPr>
      </w:pPr>
    </w:p>
    <w:p w14:paraId="03000000">
      <w:pPr>
        <w:ind w:firstLine="0" w:left="0"/>
        <w:contextualSpacing w:val="1"/>
        <w:jc w:val="left"/>
        <w:rPr>
          <w:color w:val="000000"/>
        </w:rPr>
      </w:pPr>
      <w:r>
        <w:drawing>
          <wp:inline>
            <wp:extent cx="6120129" cy="12666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20129" cy="12666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ind w:firstLine="0" w:left="0"/>
        <w:contextualSpacing w:val="1"/>
        <w:jc w:val="left"/>
        <w:rPr>
          <w:color w:val="000000"/>
        </w:rPr>
      </w:pPr>
      <w:r>
        <w:drawing>
          <wp:inline>
            <wp:extent cx="3590924" cy="79057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590924" cy="790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ind w:firstLine="709" w:left="0"/>
        <w:contextualSpacing w:val="1"/>
        <w:jc w:val="right"/>
        <w:rPr>
          <w:color w:val="000000"/>
        </w:rPr>
      </w:pPr>
    </w:p>
    <w:p w14:paraId="06000000">
      <w:pPr>
        <w:ind w:firstLine="0" w:left="0"/>
        <w:contextualSpacing w:val="1"/>
        <w:jc w:val="left"/>
        <w:rPr>
          <w:color w:val="000000"/>
        </w:rPr>
      </w:pPr>
      <w:r>
        <w:drawing>
          <wp:inline>
            <wp:extent cx="5295899" cy="75247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295899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ind w:firstLine="709" w:left="0"/>
        <w:contextualSpacing w:val="1"/>
        <w:jc w:val="right"/>
        <w:rPr>
          <w:color w:val="000000"/>
        </w:rPr>
      </w:pPr>
    </w:p>
    <w:p w14:paraId="08000000">
      <w:pPr>
        <w:ind w:firstLine="709" w:left="0"/>
        <w:contextualSpacing w:val="1"/>
        <w:jc w:val="right"/>
        <w:rPr>
          <w:color w:val="000000"/>
        </w:rPr>
      </w:pPr>
      <w:r>
        <w:tab/>
      </w:r>
      <w:r>
        <w:rPr>
          <w:color w:val="000000"/>
        </w:rPr>
        <w:t>Приложение №</w:t>
      </w:r>
      <w:r>
        <w:rPr>
          <w:color w:val="000000"/>
        </w:rPr>
        <w:t>1</w:t>
      </w:r>
    </w:p>
    <w:p w14:paraId="09000000">
      <w:pPr>
        <w:keepNext w:val="1"/>
        <w:keepLines w:val="1"/>
        <w:ind w:firstLine="540" w:left="0"/>
        <w:jc w:val="right"/>
      </w:pPr>
      <w:r>
        <w:t>к извещению о проведении аукциона</w:t>
      </w:r>
    </w:p>
    <w:p w14:paraId="0A000000">
      <w:pPr>
        <w:keepNext w:val="1"/>
        <w:keepLines w:val="1"/>
        <w:ind w:firstLine="540" w:left="0"/>
        <w:jc w:val="right"/>
      </w:pPr>
      <w:r>
        <w:t>в электронной форме</w:t>
      </w:r>
      <w:r>
        <w:t xml:space="preserve"> </w:t>
      </w:r>
    </w:p>
    <w:p w14:paraId="0B000000"/>
    <w:p w14:paraId="0C000000">
      <w:pPr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            </w:t>
      </w:r>
      <w:r>
        <w:rPr>
          <w:b w:val="1"/>
          <w:color w:val="000000"/>
        </w:rPr>
        <w:t>ОПИСАНИЕ ОБЪЕКТА ЗАКУПКИ</w:t>
      </w:r>
    </w:p>
    <w:p w14:paraId="0D000000">
      <w:pPr>
        <w:ind/>
        <w:jc w:val="center"/>
        <w:rPr>
          <w:highlight w:val="white"/>
        </w:rPr>
      </w:pPr>
      <w:r>
        <w:rPr>
          <w:highlight w:val="white"/>
        </w:rPr>
        <w:t>Салфетка для очищения/дезинфекции медицинских издели</w:t>
      </w:r>
      <w:r>
        <w:rPr>
          <w:highlight w:val="white"/>
        </w:rPr>
        <w:t>й</w:t>
      </w:r>
      <w:r>
        <w:rPr>
          <w:color w:val="000000"/>
        </w:rPr>
        <w:t>:</w:t>
      </w:r>
    </w:p>
    <w:p w14:paraId="0E000000">
      <w:pPr>
        <w:numPr>
          <w:ilvl w:val="1"/>
          <w:numId w:val="1"/>
        </w:numPr>
        <w:spacing w:line="276" w:lineRule="auto"/>
        <w:ind/>
        <w:jc w:val="both"/>
      </w:pPr>
      <w:r>
        <w:t xml:space="preserve">Наименование, требования к функциональным, техническим и качественным </w:t>
      </w:r>
    </w:p>
    <w:p w14:paraId="0F000000">
      <w:pPr>
        <w:spacing w:line="276" w:lineRule="auto"/>
        <w:ind w:firstLine="0" w:left="420"/>
        <w:jc w:val="both"/>
      </w:pPr>
      <w:r>
        <w:t>характеристикам товара</w:t>
      </w:r>
      <w:r>
        <w:t>:</w:t>
      </w:r>
    </w:p>
    <w:tbl>
      <w:tblPr>
        <w:tblStyle w:val="Style_1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67"/>
        <w:gridCol w:w="7088"/>
        <w:gridCol w:w="1134"/>
        <w:gridCol w:w="1417"/>
      </w:tblGrid>
      <w:tr>
        <w:trPr>
          <w:trHeight w:hRule="atLeast" w:val="944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0000000">
            <w:pPr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№</w:t>
            </w:r>
          </w:p>
          <w:p w14:paraId="11000000">
            <w:pPr>
              <w:ind/>
              <w:jc w:val="center"/>
              <w:rPr>
                <w:color w:val="000000"/>
              </w:rPr>
            </w:pPr>
            <w:r>
              <w:rPr>
                <w:b w:val="1"/>
                <w:color w:val="000000"/>
              </w:rPr>
              <w:t>п/п</w:t>
            </w:r>
          </w:p>
        </w:tc>
        <w:tc>
          <w:tcPr>
            <w:tcW w:type="dxa" w:w="70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Наименование товара</w:t>
            </w:r>
          </w:p>
          <w:p w14:paraId="13000000">
            <w:pPr>
              <w:ind/>
              <w:jc w:val="center"/>
              <w:rPr>
                <w:color w:val="000000"/>
              </w:rPr>
            </w:pPr>
            <w:r>
              <w:rPr>
                <w:b w:val="1"/>
              </w:rPr>
              <w:t>Функциональные, технические и качественные характеристики, эксплуатационные характеристики (при необходимости), поставляемых товара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Количество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5000000">
            <w:pPr>
              <w:ind/>
              <w:jc w:val="center"/>
              <w:rPr>
                <w:b w:val="1"/>
              </w:rPr>
            </w:pPr>
            <w:bookmarkStart w:id="1" w:name="_GoBack"/>
            <w:bookmarkEnd w:id="1"/>
            <w:r>
              <w:rPr>
                <w:b w:val="1"/>
              </w:rPr>
              <w:t>Единица измерения</w:t>
            </w:r>
          </w:p>
        </w:tc>
      </w:tr>
      <w:tr>
        <w:trPr>
          <w:trHeight w:hRule="atLeast" w:val="2675"/>
          <w:hidden w:val="0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pPr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type="dxa" w:w="70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7000000">
            <w:pPr>
              <w:pStyle w:val="Style_2"/>
              <w:keepLines w:val="1"/>
              <w:widowControl w:val="1"/>
              <w:spacing w:after="0" w:before="0"/>
              <w:ind w:firstLine="0" w:left="0"/>
              <w:jc w:val="both"/>
              <w:rPr>
                <w:i w:val="1"/>
                <w:color w:val="000000"/>
              </w:rPr>
            </w:pPr>
            <w:r>
              <w:rPr>
                <w:color w:val="000000"/>
                <w:sz w:val="24"/>
              </w:rPr>
              <w:t>21.</w:t>
            </w:r>
            <w:r>
              <w:rPr>
                <w:color w:val="000000"/>
                <w:sz w:val="24"/>
              </w:rPr>
              <w:t xml:space="preserve">  </w:t>
            </w:r>
            <w:r>
              <w:rPr>
                <w:color w:val="000000"/>
                <w:sz w:val="24"/>
              </w:rPr>
              <w:t>ОКПД2/КТРУ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21.20.24.160-00000001</w:t>
            </w:r>
            <w:r>
              <w:rPr>
                <w:color w:val="000000"/>
                <w:sz w:val="24"/>
              </w:rPr>
              <w:t>:</w:t>
            </w:r>
          </w:p>
          <w:p w14:paraId="18000000">
            <w:pPr>
              <w:ind/>
              <w:jc w:val="both"/>
              <w:rPr>
                <w:highlight w:val="white"/>
              </w:rPr>
            </w:pPr>
            <w:r>
              <w:rPr>
                <w:highlight w:val="white"/>
              </w:rPr>
              <w:t>Салфетка для очищения/дезинфекции медицинских изделий</w:t>
            </w:r>
          </w:p>
          <w:p w14:paraId="19000000">
            <w:pPr>
              <w:ind/>
              <w:jc w:val="both"/>
              <w:rPr>
                <w:highlight w:val="white"/>
              </w:rPr>
            </w:pPr>
            <w:r>
              <w:rPr>
                <w:highlight w:val="white"/>
              </w:rPr>
              <w:t>Единица измерения: Штука</w:t>
            </w:r>
          </w:p>
          <w:p w14:paraId="1A000000">
            <w:pPr>
              <w:keepNext w:val="1"/>
              <w:keepLines w:val="1"/>
              <w:ind/>
              <w:jc w:val="both"/>
              <w:rPr>
                <w:i w:val="1"/>
                <w:color w:val="000000"/>
              </w:rPr>
            </w:pPr>
            <w:r>
              <w:rPr>
                <w:rStyle w:val="Style_3_ch"/>
                <w:i w:val="1"/>
                <w:color w:val="000000"/>
              </w:rPr>
              <w:t>Дополнительные характеристики:</w:t>
            </w:r>
          </w:p>
          <w:p w14:paraId="1B000000">
            <w:pPr>
              <w:ind/>
              <w:jc w:val="both"/>
            </w:pPr>
            <w:r>
              <w:t>Салфетка антисептическая</w:t>
            </w:r>
            <w:r>
              <w:t>, одноразовая</w:t>
            </w:r>
            <w:r>
              <w:t xml:space="preserve">. </w:t>
            </w:r>
            <w:r>
              <w:t>Салфетка спиртовая, стерильная</w:t>
            </w:r>
            <w:r>
              <w:t xml:space="preserve"> </w:t>
            </w:r>
            <w:r>
              <w:t>в индивидуальной упаковке  для/после инъекций, для антисептической обработки рук, для обеззараживания инструментов, для обеззараживания поверхностей.</w:t>
            </w:r>
          </w:p>
          <w:p w14:paraId="1C000000">
            <w:pPr>
              <w:ind/>
              <w:jc w:val="both"/>
              <w:rPr>
                <w:i w:val="1"/>
                <w:color w:val="000000"/>
              </w:rPr>
            </w:pPr>
            <w:r>
              <w:t>Р</w:t>
            </w:r>
            <w:r>
              <w:t xml:space="preserve">азмер </w:t>
            </w:r>
            <w:r>
              <w:t xml:space="preserve">салфетки </w:t>
            </w:r>
            <w:r>
              <w:t>не менее 1</w:t>
            </w:r>
            <w:r>
              <w:t>35</w:t>
            </w:r>
            <w:r>
              <w:t>х1</w:t>
            </w:r>
            <w:r>
              <w:t>8</w:t>
            </w:r>
            <w:r>
              <w:t>5 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D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7 000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1E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штука</w:t>
            </w:r>
          </w:p>
        </w:tc>
      </w:tr>
      <w:tr>
        <w:trPr>
          <w:trHeight w:hRule="atLeast" w:val="747"/>
        </w:trPr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pPr>
              <w:ind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type="dxa" w:w="70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00000">
            <w:pPr>
              <w:pStyle w:val="Style_2"/>
              <w:keepLines w:val="1"/>
              <w:widowControl w:val="1"/>
              <w:spacing w:after="0" w:before="0"/>
              <w:ind w:firstLine="0" w:left="0"/>
              <w:jc w:val="both"/>
              <w:rPr>
                <w:i w:val="1"/>
                <w:color w:val="000000"/>
              </w:rPr>
            </w:pPr>
            <w:r>
              <w:rPr>
                <w:color w:val="000000"/>
                <w:sz w:val="24"/>
              </w:rPr>
              <w:t xml:space="preserve">      </w:t>
            </w:r>
            <w:r>
              <w:rPr>
                <w:color w:val="000000"/>
                <w:sz w:val="24"/>
              </w:rPr>
              <w:t>ОКПД2/КТРУ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21.20.24.160-00000001:</w:t>
            </w:r>
          </w:p>
          <w:p w14:paraId="21000000">
            <w:pPr>
              <w:ind/>
              <w:jc w:val="both"/>
              <w:rPr>
                <w:highlight w:val="white"/>
              </w:rPr>
            </w:pPr>
            <w:r>
              <w:rPr>
                <w:highlight w:val="white"/>
              </w:rPr>
              <w:t>Салфетка для очищени</w:t>
            </w:r>
            <w:r>
              <w:rPr>
                <w:highlight w:val="white"/>
              </w:rPr>
              <w:t>я/дезинфекции медицинских изде</w:t>
            </w:r>
            <w:r>
              <w:rPr>
                <w:highlight w:val="white"/>
              </w:rPr>
              <w:t>лий</w:t>
            </w:r>
          </w:p>
          <w:p w14:paraId="22000000">
            <w:pPr>
              <w:ind/>
              <w:jc w:val="both"/>
              <w:rPr>
                <w:highlight w:val="white"/>
              </w:rPr>
            </w:pPr>
            <w:r>
              <w:rPr>
                <w:highlight w:val="white"/>
              </w:rPr>
              <w:t>Ед</w:t>
            </w:r>
            <w:r>
              <w:rPr>
                <w:highlight w:val="white"/>
              </w:rPr>
              <w:t>иница измерения: Штука</w:t>
            </w:r>
          </w:p>
          <w:p w14:paraId="23000000">
            <w:pPr>
              <w:keepNext w:val="1"/>
              <w:keepLines w:val="1"/>
              <w:ind/>
              <w:jc w:val="both"/>
              <w:rPr>
                <w:i w:val="1"/>
                <w:color w:val="000000"/>
              </w:rPr>
            </w:pPr>
            <w:r>
              <w:rPr>
                <w:rStyle w:val="Style_3_ch"/>
                <w:i w:val="1"/>
                <w:color w:val="000000"/>
              </w:rPr>
              <w:t>Дополнительные характеристики:</w:t>
            </w:r>
          </w:p>
          <w:p w14:paraId="24000000">
            <w:pPr>
              <w:ind/>
              <w:jc w:val="both"/>
            </w:pPr>
            <w:r>
              <w:t>Салфетка антисептическая</w:t>
            </w:r>
            <w:r>
              <w:t>, одноразовая</w:t>
            </w:r>
            <w:r>
              <w:t>.</w:t>
            </w:r>
            <w:r>
              <w:t xml:space="preserve"> Салфетка спиртовая, стерильная</w:t>
            </w:r>
            <w:r>
              <w:t xml:space="preserve"> в индивидуальной упаковке  для/после инъекций, для антисептической обработки рук, для обеззараживания инструментов, для обеззараживания поверхностей.</w:t>
            </w:r>
          </w:p>
          <w:p w14:paraId="25000000">
            <w:pPr>
              <w:ind/>
              <w:jc w:val="both"/>
              <w:rPr>
                <w:i w:val="1"/>
                <w:color w:val="000000"/>
                <w:highlight w:val="white"/>
              </w:rPr>
            </w:pPr>
            <w:r>
              <w:t>Р</w:t>
            </w:r>
            <w:r>
              <w:t xml:space="preserve">азмер </w:t>
            </w:r>
            <w:r>
              <w:t xml:space="preserve">салфетки </w:t>
            </w:r>
            <w:r>
              <w:t>не менее 1</w:t>
            </w:r>
            <w:r>
              <w:t>25</w:t>
            </w:r>
            <w:r>
              <w:t>х1</w:t>
            </w:r>
            <w:r>
              <w:t>10</w:t>
            </w:r>
            <w:r>
              <w:t xml:space="preserve"> мм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color w:val="000000"/>
              </w:rPr>
              <w:t>500</w:t>
            </w:r>
          </w:p>
        </w:tc>
        <w:tc>
          <w:tcPr>
            <w:tcW w:type="dxa" w:w="14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00000">
            <w:pPr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>штука</w:t>
            </w:r>
          </w:p>
        </w:tc>
      </w:tr>
    </w:tbl>
    <w:sectPr>
      <w:pgSz w:h="16838" w:orient="portrait" w:w="11906"/>
      <w:pgMar w:bottom="1134" w:footer="720" w:gutter="0" w:header="720" w:left="1134" w:right="1134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360" w:left="780"/>
      </w:pPr>
    </w:lvl>
    <w:lvl w:ilvl="2">
      <w:start w:val="1"/>
      <w:numFmt w:val="decimal"/>
      <w:lvlText w:val="%1.%2.%3."/>
      <w:lvlJc w:val="left"/>
      <w:pPr>
        <w:ind w:hanging="720" w:left="1560"/>
      </w:pPr>
    </w:lvl>
    <w:lvl w:ilvl="3">
      <w:start w:val="1"/>
      <w:numFmt w:val="decimal"/>
      <w:lvlText w:val="%1.%2.%3.%4."/>
      <w:lvlJc w:val="left"/>
      <w:pPr>
        <w:ind w:hanging="720" w:left="1980"/>
      </w:pPr>
    </w:lvl>
    <w:lvl w:ilvl="4">
      <w:start w:val="1"/>
      <w:numFmt w:val="decimal"/>
      <w:lvlText w:val="%1.%2.%3.%4.%5."/>
      <w:lvlJc w:val="left"/>
      <w:pPr>
        <w:ind w:hanging="1080" w:left="2760"/>
      </w:pPr>
    </w:lvl>
    <w:lvl w:ilvl="5">
      <w:start w:val="1"/>
      <w:numFmt w:val="decimal"/>
      <w:lvlText w:val="%1.%2.%3.%4.%5.%6."/>
      <w:lvlJc w:val="left"/>
      <w:pPr>
        <w:ind w:hanging="1080" w:left="3180"/>
      </w:pPr>
    </w:lvl>
    <w:lvl w:ilvl="6">
      <w:start w:val="1"/>
      <w:numFmt w:val="decimal"/>
      <w:lvlText w:val="%1.%2.%3.%4.%5.%6.%7."/>
      <w:lvlJc w:val="left"/>
      <w:pPr>
        <w:ind w:hanging="1440" w:left="3960"/>
      </w:pPr>
    </w:lvl>
    <w:lvl w:ilvl="7">
      <w:start w:val="1"/>
      <w:numFmt w:val="decimal"/>
      <w:lvlText w:val="%1.%2.%3.%4.%5.%6.%7.%8."/>
      <w:lvlJc w:val="left"/>
      <w:pPr>
        <w:ind w:hanging="1440" w:left="4380"/>
      </w:pPr>
    </w:lvl>
    <w:lvl w:ilvl="8">
      <w:start w:val="1"/>
      <w:numFmt w:val="decimal"/>
      <w:lvlText w:val="%1.%2.%3.%4.%5.%6.%7.%8.%9."/>
      <w:lvlJc w:val="left"/>
      <w:pPr>
        <w:ind w:hanging="1800" w:left="5160"/>
      </w:pPr>
    </w:lvl>
  </w:abstractNum>
  <w:abstractNum w:abstractNumId="1">
    <w:lvl w:ilvl="0">
      <w:start w:val="1"/>
      <w:numFmt w:val="decimal"/>
      <w:pStyle w:val="Style_2"/>
      <w:lvlJc w:val="left"/>
      <w:pPr>
        <w:tabs>
          <w:tab w:leader="none" w:pos="0" w:val="left"/>
        </w:tabs>
        <w:ind w:hanging="432" w:left="432"/>
      </w:pPr>
    </w:lvl>
    <w:lvl w:ilvl="1">
      <w:start w:val="1"/>
      <w:numFmt w:val="decimal"/>
      <w:pStyle w:val="Style_45"/>
      <w:lvlJc w:val="left"/>
      <w:pPr>
        <w:tabs>
          <w:tab w:leader="none" w:pos="0" w:val="left"/>
        </w:tabs>
        <w:ind w:hanging="576" w:left="576"/>
      </w:pPr>
    </w:lvl>
    <w:lvl w:ilvl="2">
      <w:start w:val="1"/>
      <w:numFmt w:val="decimal"/>
      <w:lvlJc w:val="left"/>
      <w:pPr>
        <w:tabs>
          <w:tab w:leader="none" w:pos="0" w:val="left"/>
        </w:tabs>
        <w:ind w:hanging="720" w:left="720"/>
      </w:pPr>
    </w:lvl>
    <w:lvl w:ilvl="3">
      <w:start w:val="1"/>
      <w:numFmt w:val="decimal"/>
      <w:lvlJc w:val="left"/>
      <w:pPr>
        <w:tabs>
          <w:tab w:leader="none" w:pos="0" w:val="left"/>
        </w:tabs>
        <w:ind w:hanging="864" w:left="864"/>
      </w:pPr>
    </w:lvl>
    <w:lvl w:ilvl="4">
      <w:start w:val="1"/>
      <w:numFmt w:val="decimal"/>
      <w:lvlJc w:val="left"/>
      <w:pPr>
        <w:tabs>
          <w:tab w:leader="none" w:pos="0" w:val="left"/>
        </w:tabs>
        <w:ind w:hanging="1008" w:left="1008"/>
      </w:pPr>
    </w:lvl>
    <w:lvl w:ilvl="5">
      <w:start w:val="1"/>
      <w:numFmt w:val="decimal"/>
      <w:lvlJc w:val="left"/>
      <w:pPr>
        <w:tabs>
          <w:tab w:leader="none" w:pos="0" w:val="left"/>
        </w:tabs>
        <w:ind w:hanging="1152" w:left="1152"/>
      </w:pPr>
    </w:lvl>
    <w:lvl w:ilvl="6">
      <w:start w:val="1"/>
      <w:numFmt w:val="decimal"/>
      <w:lvlJc w:val="left"/>
      <w:pPr>
        <w:tabs>
          <w:tab w:leader="none" w:pos="0" w:val="left"/>
        </w:tabs>
        <w:ind w:hanging="1296" w:left="1296"/>
      </w:pPr>
    </w:lvl>
    <w:lvl w:ilvl="7">
      <w:start w:val="1"/>
      <w:numFmt w:val="decimal"/>
      <w:lvlJc w:val="left"/>
      <w:pPr>
        <w:tabs>
          <w:tab w:leader="none" w:pos="0" w:val="left"/>
        </w:tabs>
        <w:ind w:hanging="1440" w:left="1440"/>
      </w:pPr>
    </w:lvl>
    <w:lvl w:ilvl="8">
      <w:start w:val="1"/>
      <w:numFmt w:val="decimal"/>
      <w:lvlJc w:val="left"/>
      <w:pPr>
        <w:tabs>
          <w:tab w:leader="none" w:pos="0" w:val="left"/>
        </w:tabs>
        <w:ind w:hanging="1584" w:left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6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widowControl w:val="0"/>
      <w:ind/>
    </w:pPr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cardmaininfo__title"/>
    <w:basedOn w:val="Style_10"/>
    <w:link w:val="Style_9_ch"/>
  </w:style>
  <w:style w:styleId="Style_9_ch" w:type="character">
    <w:name w:val="cardmaininfo__title"/>
    <w:basedOn w:val="Style_10_ch"/>
    <w:link w:val="Style_9"/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Обычный1"/>
    <w:link w:val="Style_12_ch"/>
    <w:pPr>
      <w:spacing w:after="100" w:before="100"/>
      <w:ind/>
    </w:pPr>
    <w:rPr>
      <w:sz w:val="24"/>
    </w:rPr>
  </w:style>
  <w:style w:styleId="Style_12_ch" w:type="character">
    <w:name w:val="Обычный1"/>
    <w:link w:val="Style_12"/>
    <w:rPr>
      <w:sz w:val="24"/>
    </w:rPr>
  </w:style>
  <w:style w:styleId="Style_13" w:type="paragraph">
    <w:name w:val="cardmaininfo__purchaselink2"/>
    <w:basedOn w:val="Style_10"/>
    <w:link w:val="Style_13_ch"/>
    <w:rPr>
      <w:color w:val="0065DD"/>
    </w:rPr>
  </w:style>
  <w:style w:styleId="Style_13_ch" w:type="character">
    <w:name w:val="cardmaininfo__purchaselink2"/>
    <w:basedOn w:val="Style_10_ch"/>
    <w:link w:val="Style_13"/>
    <w:rPr>
      <w:color w:val="0065DD"/>
    </w:rPr>
  </w:style>
  <w:style w:styleId="Style_14" w:type="paragraph">
    <w:name w:val="Название1"/>
    <w:basedOn w:val="Style_4"/>
    <w:link w:val="Style_14_ch"/>
    <w:pPr>
      <w:spacing w:after="120" w:before="120"/>
      <w:ind/>
    </w:pPr>
    <w:rPr>
      <w:i w:val="1"/>
      <w:sz w:val="24"/>
    </w:rPr>
  </w:style>
  <w:style w:styleId="Style_14_ch" w:type="character">
    <w:name w:val="Название1"/>
    <w:basedOn w:val="Style_4_ch"/>
    <w:link w:val="Style_14"/>
    <w:rPr>
      <w:i w:val="1"/>
      <w:sz w:val="24"/>
    </w:rPr>
  </w:style>
  <w:style w:styleId="Style_3" w:type="paragraph">
    <w:name w:val="cardmaininfo__title2"/>
    <w:basedOn w:val="Style_10"/>
    <w:link w:val="Style_3_ch"/>
    <w:rPr>
      <w:color w:val="909EBB"/>
    </w:rPr>
  </w:style>
  <w:style w:styleId="Style_3_ch" w:type="character">
    <w:name w:val="cardmaininfo__title2"/>
    <w:basedOn w:val="Style_10_ch"/>
    <w:link w:val="Style_3"/>
    <w:rPr>
      <w:color w:val="909EBB"/>
    </w:rPr>
  </w:style>
  <w:style w:styleId="Style_15" w:type="paragraph">
    <w:name w:val="WW8Num1z4"/>
    <w:link w:val="Style_15_ch"/>
  </w:style>
  <w:style w:styleId="Style_15_ch" w:type="character">
    <w:name w:val="WW8Num1z4"/>
    <w:link w:val="Style_15"/>
  </w:style>
  <w:style w:styleId="Style_16" w:type="paragraph">
    <w:name w:val="WW8Num1z2"/>
    <w:link w:val="Style_16_ch"/>
  </w:style>
  <w:style w:styleId="Style_16_ch" w:type="character">
    <w:name w:val="WW8Num1z2"/>
    <w:link w:val="Style_16"/>
  </w:style>
  <w:style w:styleId="Style_17" w:type="paragraph">
    <w:name w:val="Заголовок таблицы"/>
    <w:basedOn w:val="Style_18"/>
    <w:link w:val="Style_17_ch"/>
    <w:pPr>
      <w:ind/>
      <w:jc w:val="center"/>
    </w:pPr>
    <w:rPr>
      <w:b w:val="1"/>
    </w:rPr>
  </w:style>
  <w:style w:styleId="Style_17_ch" w:type="character">
    <w:name w:val="Заголовок таблицы"/>
    <w:basedOn w:val="Style_18_ch"/>
    <w:link w:val="Style_17"/>
    <w:rPr>
      <w:b w:val="1"/>
    </w:rPr>
  </w:style>
  <w:style w:styleId="Style_19" w:type="paragraph">
    <w:name w:val=" Знак1"/>
    <w:basedOn w:val="Style_4"/>
    <w:link w:val="Style_19_ch"/>
    <w:pPr>
      <w:widowControl w:val="1"/>
      <w:spacing w:after="160" w:line="240" w:lineRule="exact"/>
      <w:ind/>
    </w:pPr>
    <w:rPr>
      <w:rFonts w:ascii="Verdana" w:hAnsi="Verdana"/>
    </w:rPr>
  </w:style>
  <w:style w:styleId="Style_19_ch" w:type="character">
    <w:name w:val=" Знак1"/>
    <w:basedOn w:val="Style_4_ch"/>
    <w:link w:val="Style_19"/>
    <w:rPr>
      <w:rFonts w:ascii="Verdana" w:hAnsi="Verdana"/>
    </w:rPr>
  </w:style>
  <w:style w:styleId="Style_20" w:type="paragraph">
    <w:name w:val="toc 3"/>
    <w:next w:val="Style_4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21" w:type="paragraph">
    <w:name w:val="WW8Num1z5"/>
    <w:link w:val="Style_21_ch"/>
  </w:style>
  <w:style w:styleId="Style_21_ch" w:type="character">
    <w:name w:val="WW8Num1z5"/>
    <w:link w:val="Style_21"/>
  </w:style>
  <w:style w:styleId="Style_22" w:type="paragraph">
    <w:name w:val="Указатель1"/>
    <w:basedOn w:val="Style_4"/>
    <w:link w:val="Style_22_ch"/>
  </w:style>
  <w:style w:styleId="Style_22_ch" w:type="character">
    <w:name w:val="Указатель1"/>
    <w:basedOn w:val="Style_4_ch"/>
    <w:link w:val="Style_22"/>
  </w:style>
  <w:style w:styleId="Style_23" w:type="paragraph">
    <w:name w:val="WW8Num1z6"/>
    <w:link w:val="Style_23_ch"/>
  </w:style>
  <w:style w:styleId="Style_23_ch" w:type="character">
    <w:name w:val="WW8Num1z6"/>
    <w:link w:val="Style_23"/>
  </w:style>
  <w:style w:styleId="Style_24" w:type="paragraph">
    <w:name w:val="heading 5"/>
    <w:next w:val="Style_4"/>
    <w:link w:val="Style_2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4_ch" w:type="character">
    <w:name w:val="heading 5"/>
    <w:link w:val="Style_24"/>
    <w:rPr>
      <w:rFonts w:ascii="XO Thames" w:hAnsi="XO Thames"/>
      <w:b w:val="1"/>
      <w:sz w:val="22"/>
    </w:rPr>
  </w:style>
  <w:style w:styleId="Style_25" w:type="paragraph">
    <w:name w:val="WW8Num1z3"/>
    <w:link w:val="Style_25_ch"/>
  </w:style>
  <w:style w:styleId="Style_25_ch" w:type="character">
    <w:name w:val="WW8Num1z3"/>
    <w:link w:val="Style_25"/>
  </w:style>
  <w:style w:styleId="Style_26" w:type="paragraph">
    <w:name w:val="Body Text"/>
    <w:basedOn w:val="Style_4"/>
    <w:link w:val="Style_26_ch"/>
    <w:pPr>
      <w:spacing w:after="120" w:before="0"/>
      <w:ind/>
    </w:pPr>
  </w:style>
  <w:style w:styleId="Style_26_ch" w:type="character">
    <w:name w:val="Body Text"/>
    <w:basedOn w:val="Style_4_ch"/>
    <w:link w:val="Style_26"/>
  </w:style>
  <w:style w:styleId="Style_27" w:type="paragraph">
    <w:name w:val="Emphasis"/>
    <w:link w:val="Style_27_ch"/>
    <w:rPr>
      <w:i w:val="1"/>
    </w:rPr>
  </w:style>
  <w:style w:styleId="Style_27_ch" w:type="character">
    <w:name w:val="Emphasis"/>
    <w:link w:val="Style_27"/>
    <w:rPr>
      <w:i w:val="1"/>
    </w:rPr>
  </w:style>
  <w:style w:styleId="Style_2" w:type="paragraph">
    <w:name w:val="heading 1"/>
    <w:basedOn w:val="Style_28"/>
    <w:next w:val="Style_26"/>
    <w:link w:val="Style_2_ch"/>
    <w:uiPriority w:val="9"/>
    <w:qFormat/>
    <w:pPr>
      <w:numPr>
        <w:ilvl w:val="0"/>
        <w:numId w:val="2"/>
      </w:numPr>
      <w:ind/>
      <w:outlineLvl w:val="0"/>
    </w:pPr>
    <w:rPr>
      <w:rFonts w:ascii="Times New Roman" w:hAnsi="Times New Roman"/>
      <w:b w:val="1"/>
      <w:sz w:val="48"/>
    </w:rPr>
  </w:style>
  <w:style w:styleId="Style_2_ch" w:type="character">
    <w:name w:val="heading 1"/>
    <w:basedOn w:val="Style_28_ch"/>
    <w:link w:val="Style_2"/>
    <w:rPr>
      <w:rFonts w:ascii="Times New Roman" w:hAnsi="Times New Roman"/>
      <w:b w:val="1"/>
      <w:sz w:val="48"/>
    </w:rPr>
  </w:style>
  <w:style w:styleId="Style_29" w:type="paragraph">
    <w:name w:val="WW8Num1z1"/>
    <w:link w:val="Style_29_ch"/>
  </w:style>
  <w:style w:styleId="Style_29_ch" w:type="character">
    <w:name w:val="WW8Num1z1"/>
    <w:link w:val="Style_29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30" w:type="paragraph">
    <w:name w:val="Hyperlink"/>
    <w:link w:val="Style_30_ch"/>
    <w:rPr>
      <w:color w:val="0000FF"/>
      <w:u w:val="single"/>
    </w:rPr>
  </w:style>
  <w:style w:styleId="Style_30_ch" w:type="character">
    <w:name w:val="Hyperlink"/>
    <w:link w:val="Style_30"/>
    <w:rPr>
      <w:color w:val="0000FF"/>
      <w:u w:val="single"/>
    </w:rPr>
  </w:style>
  <w:style w:styleId="Style_31" w:type="paragraph">
    <w:name w:val="Footnote"/>
    <w:link w:val="Style_31_ch"/>
    <w:pPr>
      <w:ind w:firstLine="851" w:left="0"/>
      <w:jc w:val="both"/>
    </w:pPr>
    <w:rPr>
      <w:rFonts w:ascii="XO Thames" w:hAnsi="XO Thames"/>
      <w:sz w:val="22"/>
    </w:rPr>
  </w:style>
  <w:style w:styleId="Style_31_ch" w:type="character">
    <w:name w:val="Footnote"/>
    <w:link w:val="Style_31"/>
    <w:rPr>
      <w:rFonts w:ascii="XO Thames" w:hAnsi="XO Thames"/>
      <w:sz w:val="22"/>
    </w:rPr>
  </w:style>
  <w:style w:styleId="Style_32" w:type="paragraph">
    <w:name w:val="toc 1"/>
    <w:next w:val="Style_4"/>
    <w:link w:val="Style_3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2_ch" w:type="character">
    <w:name w:val="toc 1"/>
    <w:link w:val="Style_32"/>
    <w:rPr>
      <w:rFonts w:ascii="XO Thames" w:hAnsi="XO Thames"/>
      <w:b w:val="1"/>
      <w:sz w:val="28"/>
    </w:rPr>
  </w:style>
  <w:style w:styleId="Style_33" w:type="paragraph">
    <w:name w:val="WW8Num1z0"/>
    <w:link w:val="Style_33_ch"/>
  </w:style>
  <w:style w:styleId="Style_33_ch" w:type="character">
    <w:name w:val="WW8Num1z0"/>
    <w:link w:val="Style_33"/>
  </w:style>
  <w:style w:styleId="Style_34" w:type="paragraph">
    <w:name w:val="Header and Footer"/>
    <w:link w:val="Style_34_ch"/>
    <w:pPr>
      <w:spacing w:line="240" w:lineRule="auto"/>
      <w:ind/>
      <w:jc w:val="both"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35" w:type="paragraph">
    <w:name w:val="List"/>
    <w:basedOn w:val="Style_26"/>
    <w:link w:val="Style_35_ch"/>
  </w:style>
  <w:style w:styleId="Style_35_ch" w:type="character">
    <w:name w:val="List"/>
    <w:basedOn w:val="Style_26_ch"/>
    <w:link w:val="Style_35"/>
  </w:style>
  <w:style w:styleId="Style_36" w:type="paragraph">
    <w:name w:val="toc 9"/>
    <w:next w:val="Style_4"/>
    <w:link w:val="Style_3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6_ch" w:type="character">
    <w:name w:val="toc 9"/>
    <w:link w:val="Style_36"/>
    <w:rPr>
      <w:rFonts w:ascii="XO Thames" w:hAnsi="XO Thames"/>
      <w:sz w:val="28"/>
    </w:rPr>
  </w:style>
  <w:style w:styleId="Style_37" w:type="paragraph">
    <w:name w:val="toc 8"/>
    <w:next w:val="Style_4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WW8Num1z7"/>
    <w:link w:val="Style_38_ch"/>
  </w:style>
  <w:style w:styleId="Style_38_ch" w:type="character">
    <w:name w:val="WW8Num1z7"/>
    <w:link w:val="Style_38"/>
  </w:style>
  <w:style w:styleId="Style_39" w:type="paragraph">
    <w:name w:val="toc 5"/>
    <w:next w:val="Style_4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18" w:type="paragraph">
    <w:name w:val="Содержимое таблицы"/>
    <w:basedOn w:val="Style_4"/>
    <w:link w:val="Style_18_ch"/>
  </w:style>
  <w:style w:styleId="Style_18_ch" w:type="character">
    <w:name w:val="Содержимое таблицы"/>
    <w:basedOn w:val="Style_4_ch"/>
    <w:link w:val="Style_18"/>
  </w:style>
  <w:style w:styleId="Style_28" w:type="paragraph">
    <w:name w:val="Заголовок"/>
    <w:basedOn w:val="Style_4"/>
    <w:next w:val="Style_26"/>
    <w:link w:val="Style_28_ch"/>
    <w:pPr>
      <w:keepNext w:val="1"/>
      <w:spacing w:after="120" w:before="240"/>
      <w:ind/>
    </w:pPr>
    <w:rPr>
      <w:rFonts w:ascii="Arial" w:hAnsi="Arial"/>
      <w:sz w:val="28"/>
    </w:rPr>
  </w:style>
  <w:style w:styleId="Style_28_ch" w:type="character">
    <w:name w:val="Заголовок"/>
    <w:basedOn w:val="Style_4_ch"/>
    <w:link w:val="Style_28"/>
    <w:rPr>
      <w:rFonts w:ascii="Arial" w:hAnsi="Arial"/>
      <w:sz w:val="28"/>
    </w:rPr>
  </w:style>
  <w:style w:styleId="Style_40" w:type="paragraph">
    <w:name w:val="cardmaininfo__content"/>
    <w:basedOn w:val="Style_10"/>
    <w:link w:val="Style_40_ch"/>
  </w:style>
  <w:style w:styleId="Style_40_ch" w:type="character">
    <w:name w:val="cardmaininfo__content"/>
    <w:basedOn w:val="Style_10_ch"/>
    <w:link w:val="Style_40"/>
  </w:style>
  <w:style w:styleId="Style_41" w:type="paragraph">
    <w:name w:val="Subtitle"/>
    <w:next w:val="Style_4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WW8Num1z8"/>
    <w:link w:val="Style_42_ch"/>
  </w:style>
  <w:style w:styleId="Style_42_ch" w:type="character">
    <w:name w:val="WW8Num1z8"/>
    <w:link w:val="Style_42"/>
  </w:style>
  <w:style w:styleId="Style_43" w:type="paragraph">
    <w:name w:val="Title"/>
    <w:next w:val="Style_4"/>
    <w:link w:val="Style_4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3_ch" w:type="character">
    <w:name w:val="Title"/>
    <w:link w:val="Style_43"/>
    <w:rPr>
      <w:rFonts w:ascii="XO Thames" w:hAnsi="XO Thames"/>
      <w:b w:val="1"/>
      <w:caps w:val="1"/>
      <w:sz w:val="40"/>
    </w:rPr>
  </w:style>
  <w:style w:styleId="Style_44" w:type="paragraph">
    <w:name w:val="heading 4"/>
    <w:next w:val="Style_4"/>
    <w:link w:val="Style_4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4_ch" w:type="character">
    <w:name w:val="heading 4"/>
    <w:link w:val="Style_44"/>
    <w:rPr>
      <w:rFonts w:ascii="XO Thames" w:hAnsi="XO Thames"/>
      <w:b w:val="1"/>
      <w:sz w:val="24"/>
    </w:rPr>
  </w:style>
  <w:style w:styleId="Style_45" w:type="paragraph">
    <w:name w:val="heading 2"/>
    <w:basedOn w:val="Style_28"/>
    <w:next w:val="Style_26"/>
    <w:link w:val="Style_45_ch"/>
    <w:uiPriority w:val="9"/>
    <w:qFormat/>
    <w:pPr>
      <w:numPr>
        <w:ilvl w:val="1"/>
        <w:numId w:val="2"/>
      </w:numPr>
      <w:ind/>
      <w:outlineLvl w:val="1"/>
    </w:pPr>
    <w:rPr>
      <w:rFonts w:ascii="Times New Roman" w:hAnsi="Times New Roman"/>
      <w:b w:val="1"/>
      <w:sz w:val="36"/>
    </w:rPr>
  </w:style>
  <w:style w:styleId="Style_45_ch" w:type="character">
    <w:name w:val="heading 2"/>
    <w:basedOn w:val="Style_28_ch"/>
    <w:link w:val="Style_45"/>
    <w:rPr>
      <w:rFonts w:ascii="Times New Roman" w:hAnsi="Times New Roman"/>
      <w:b w:val="1"/>
      <w:sz w:val="36"/>
    </w:rPr>
  </w:style>
  <w:style w:styleId="Style_46" w:type="paragraph">
    <w:name w:val="Strong"/>
    <w:link w:val="Style_46_ch"/>
    <w:rPr>
      <w:b w:val="1"/>
    </w:rPr>
  </w:style>
  <w:style w:styleId="Style_46_ch" w:type="character">
    <w:name w:val="Strong"/>
    <w:link w:val="Style_46"/>
    <w:rPr>
      <w:b w:val="1"/>
    </w:rPr>
  </w:style>
  <w:style w:styleId="Style_47" w:type="paragraph">
    <w:name w:val="Normal (Web)"/>
    <w:basedOn w:val="Style_4"/>
    <w:link w:val="Style_47_ch"/>
    <w:pPr>
      <w:widowControl w:val="1"/>
      <w:spacing w:after="280" w:before="280"/>
      <w:ind/>
    </w:pPr>
  </w:style>
  <w:style w:styleId="Style_47_ch" w:type="character">
    <w:name w:val="Normal (Web)"/>
    <w:basedOn w:val="Style_4_ch"/>
    <w:link w:val="Style_47"/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2024-07-11T08:36:47Z</dcterms:modified>
</cp:coreProperties>
</file>