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widowControl w:val="0"/>
        <w:ind w:firstLine="0" w:left="5103"/>
        <w:jc w:val="right"/>
        <w:rPr>
          <w:color w:val="000000"/>
          <w:sz w:val="24"/>
        </w:rPr>
      </w:pPr>
      <w:r>
        <w:rPr>
          <w:color w:val="000000"/>
          <w:sz w:val="24"/>
        </w:rPr>
        <w:t>Приложение № 1</w:t>
      </w:r>
    </w:p>
    <w:p w14:paraId="02000000">
      <w:pPr>
        <w:pStyle w:val="Style_1"/>
        <w:widowControl w:val="0"/>
        <w:ind w:firstLine="0" w:left="5103"/>
        <w:jc w:val="right"/>
        <w:rPr>
          <w:color w:val="000000"/>
          <w:sz w:val="24"/>
        </w:rPr>
      </w:pPr>
      <w:r>
        <w:rPr>
          <w:color w:val="000000"/>
          <w:sz w:val="24"/>
        </w:rPr>
        <w:t xml:space="preserve">к извещению об электронном аукционе </w:t>
      </w:r>
    </w:p>
    <w:p w14:paraId="03000000">
      <w:pPr>
        <w:rPr>
          <w:rFonts w:ascii="Times New Roman" w:hAnsi="Times New Roman"/>
          <w:b w:val="1"/>
          <w:color w:val="000000"/>
          <w:sz w:val="24"/>
        </w:rPr>
      </w:pPr>
    </w:p>
    <w:p w14:paraId="04000000">
      <w:pPr>
        <w:ind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Описание объекта закупки в соответствии </w:t>
      </w:r>
    </w:p>
    <w:p w14:paraId="05000000">
      <w:pPr>
        <w:ind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со статьей 33 Закона № 44-ФЗ</w:t>
      </w:r>
    </w:p>
    <w:tbl>
      <w:tblPr>
        <w:tblStyle w:val="Style_2"/>
        <w:tblInd w:type="dxa" w:w="113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540"/>
        <w:gridCol w:w="7540"/>
        <w:gridCol w:w="1292"/>
        <w:gridCol w:w="1255"/>
      </w:tblGrid>
      <w:tr>
        <w:trPr>
          <w:trHeight w:hRule="atLeast" w:val="811"/>
        </w:trPr>
        <w:tc>
          <w:tcPr>
            <w:tcW w:type="dxa" w:w="5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06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№ п/п</w:t>
            </w:r>
          </w:p>
          <w:p w14:paraId="07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 </w:t>
            </w:r>
          </w:p>
        </w:tc>
        <w:tc>
          <w:tcPr>
            <w:tcW w:type="dxa" w:w="75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08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Наименование товара, работы, услуги</w:t>
            </w:r>
          </w:p>
          <w:p w14:paraId="09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 </w:t>
            </w:r>
          </w:p>
        </w:tc>
        <w:tc>
          <w:tcPr>
            <w:tcW w:type="dxa" w:w="12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0A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Единица измерения</w:t>
            </w:r>
          </w:p>
          <w:p w14:paraId="0B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 </w:t>
            </w:r>
          </w:p>
        </w:tc>
        <w:tc>
          <w:tcPr>
            <w:tcW w:type="dxa" w:w="12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0C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 </w:t>
            </w:r>
          </w:p>
          <w:p w14:paraId="0D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Кол-во товара </w:t>
            </w:r>
          </w:p>
          <w:p w14:paraId="0E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>
        <w:trPr>
          <w:trHeight w:hRule="atLeast" w:val="2048"/>
        </w:trPr>
        <w:tc>
          <w:tcPr>
            <w:tcW w:type="dxa" w:w="5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0F000000">
            <w:pPr>
              <w:spacing w:after="0" w:before="0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type="dxa" w:w="75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10000000">
            <w:pPr>
              <w:spacing w:after="0" w:before="0"/>
              <w:ind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Диаспрей.</w:t>
            </w:r>
          </w:p>
          <w:p w14:paraId="11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20.20.14.000-00000005 - Средство дезинфицирующее</w:t>
            </w:r>
          </w:p>
          <w:p w14:paraId="12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</w:p>
          <w:p w14:paraId="13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Дезинфицирующее средство на основе изопропилового спирта 30%, полигексаметиленбигуанид гидрохлорид 0,25% и комплекс четвертичных аммониевых соединений (ЧАС) 0,1%. Не содержит аминов, хлора и фенолов.  Применяется для:</w:t>
            </w:r>
            <w:r>
              <w:rPr>
                <w:rFonts w:ascii="Times New Roman" w:hAnsi="Times New Roman"/>
                <w:color w:val="000000"/>
                <w:sz w:val="24"/>
              </w:rPr>
              <w:br/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- дезинфекции  поверхностей, оптических приборов, предметов обстановки помещений. </w:t>
            </w:r>
            <w:r>
              <w:rPr>
                <w:rFonts w:ascii="Times New Roman" w:hAnsi="Times New Roman"/>
                <w:color w:val="000000"/>
                <w:sz w:val="24"/>
              </w:rPr>
              <w:br/>
            </w:r>
            <w:r>
              <w:rPr>
                <w:rFonts w:ascii="Times New Roman" w:hAnsi="Times New Roman"/>
                <w:color w:val="000000"/>
                <w:sz w:val="24"/>
              </w:rPr>
              <w:t>- датчиков УЗИ, изделий медицинского назначения, физиотерапевтического оборудования, санитарно-технического оборудования, предметов ухода.</w:t>
            </w:r>
            <w:r>
              <w:rPr>
                <w:rFonts w:ascii="Times New Roman" w:hAnsi="Times New Roman"/>
                <w:color w:val="000000"/>
                <w:sz w:val="24"/>
              </w:rPr>
              <w:br/>
            </w:r>
            <w:r>
              <w:rPr>
                <w:rFonts w:ascii="Times New Roman" w:hAnsi="Times New Roman"/>
                <w:color w:val="000000"/>
                <w:sz w:val="24"/>
              </w:rPr>
              <w:t>- операционных ламп, бактерицидных ламп, медицинских столов.</w:t>
            </w:r>
            <w:r>
              <w:rPr>
                <w:rFonts w:ascii="Times New Roman" w:hAnsi="Times New Roman"/>
                <w:color w:val="000000"/>
                <w:sz w:val="24"/>
              </w:rPr>
              <w:br/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Спектр действия: средство обладает антимикробной активностью в отношении грамотрицательных и грамположительных бактерий, возбудителей туберкулёза и внутрибольничных инфекций (ВБИ), патогенных грибов – возбудителей дерматофитий и кандидозов, аденовирусы, вирусы гриппа, парагриппа, возбудителей острых респираторных инфекций, энтеровирусы, ротавирусы, вирус полиомиелита, вирусы энтеральных, парентеральных гепатитов, герпеса, ВИЧ, атипичной пневмонии. </w:t>
            </w:r>
          </w:p>
          <w:p w14:paraId="14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Фасовка: флакон емкостью 0,75 л.</w:t>
            </w:r>
          </w:p>
          <w:p w14:paraId="15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Производство Россия.</w:t>
            </w:r>
          </w:p>
        </w:tc>
        <w:tc>
          <w:tcPr>
            <w:tcW w:type="dxa" w:w="12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16000000">
            <w:pPr>
              <w:spacing w:after="0" w:before="0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л</w:t>
            </w:r>
            <w:r>
              <w:rPr>
                <w:rFonts w:ascii="Times New Roman" w:hAnsi="Times New Roman"/>
                <w:color w:val="000000"/>
                <w:sz w:val="24"/>
              </w:rPr>
              <w:t>итр</w:t>
            </w:r>
          </w:p>
        </w:tc>
        <w:tc>
          <w:tcPr>
            <w:tcW w:type="dxa" w:w="12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17000000">
            <w:pPr>
              <w:spacing w:after="0" w:before="0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396</w:t>
            </w:r>
          </w:p>
        </w:tc>
      </w:tr>
      <w:tr>
        <w:trPr>
          <w:trHeight w:hRule="atLeast" w:val="1259"/>
        </w:trPr>
        <w:tc>
          <w:tcPr>
            <w:tcW w:type="dxa" w:w="5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18000000">
            <w:pPr>
              <w:spacing w:after="0" w:before="0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tcW w:type="dxa" w:w="75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19000000">
            <w:pPr>
              <w:spacing w:after="0" w:before="0"/>
              <w:ind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Энзидез.</w:t>
            </w:r>
          </w:p>
          <w:p w14:paraId="1A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20.20.14.000-00000005 - Средство дезинфицирующее</w:t>
            </w:r>
          </w:p>
          <w:p w14:paraId="1B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</w:p>
          <w:p w14:paraId="1C000000">
            <w:pPr>
              <w:pStyle w:val="Style_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Содержит в качестве действующих веществ: алкилдиметилбензиламмоний хлорид и дидецилдиметиламмоний хлорид (ЧАС) – 12% (суммарно), N,N-бис(3-аминопропил)додециламин – 6%, полигексаметиленгуанидин гидрохлорид – 5%, изопропиловый спирт, неионогенные ПАВ. рН 1% водного раствора средства составляет 9,0.</w:t>
            </w:r>
          </w:p>
          <w:p w14:paraId="1D000000">
            <w:pPr>
              <w:pStyle w:val="Style_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Активность: Средство обладает антимикробной активностью в отношении грамотрицательных и грамположительных бактерий (включая микобактерии туберкулеза, возбудителей внутрибольничных и анаэробных инфекций, синегнойную палочку , золотистый стафилококк), вирусов, грибов , плесневых грибов и особо опасных инфекций бактериальной этиологии (легионеллез, холера, чума, туляремия); средство обладает спороцидной (в том числе в отношении спор сибирской язвы)  активностью, а также моющими и дезодорирующими свойствами.</w:t>
            </w:r>
          </w:p>
          <w:p w14:paraId="1E000000"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Средство обладает утвержденными режимами:</w:t>
            </w:r>
            <w:r>
              <w:rPr>
                <w:rFonts w:ascii="Times New Roman" w:hAnsi="Times New Roman"/>
                <w:color w:val="000000"/>
                <w:sz w:val="24"/>
              </w:rPr>
              <w:br/>
            </w:r>
            <w:r>
              <w:rPr>
                <w:rFonts w:ascii="Times New Roman" w:hAnsi="Times New Roman"/>
                <w:color w:val="000000"/>
                <w:sz w:val="24"/>
              </w:rPr>
              <w:t>- дезинфекции поверхностей (выход рабочего раствора из одного литра средства для дезинфекции поверхностей в отношении вирусов составляет 2000 л при времени экспозиции 30 мин , 500 л при времени экспозиции 5мин, в отношении грибковых инфекций 100 л при времени экспозиции 15минут, в отношении микобактерий туберкулеза  1000 л при времени экспозиции 30мин.</w:t>
            </w:r>
          </w:p>
          <w:p w14:paraId="1F000000">
            <w:pPr>
              <w:pStyle w:val="Style_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Срок годности:в невскрытой упаковке производителя 7 лет, рабочих растворов 48 суток.</w:t>
            </w:r>
          </w:p>
          <w:p w14:paraId="20000000">
            <w:pPr>
              <w:pStyle w:val="Style_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Фасовка: в полиэтиленовых емкостях</w:t>
            </w:r>
            <w:r>
              <w:rPr>
                <w:rFonts w:ascii="Times New Roman" w:hAnsi="Times New Roman"/>
                <w:color w:val="000000"/>
              </w:rPr>
              <w:t xml:space="preserve"> 1 л.</w:t>
            </w:r>
          </w:p>
          <w:p w14:paraId="21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Производство Россия.</w:t>
            </w:r>
          </w:p>
        </w:tc>
        <w:tc>
          <w:tcPr>
            <w:tcW w:type="dxa" w:w="12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22000000">
            <w:pPr>
              <w:spacing w:after="0" w:before="0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литр</w:t>
            </w:r>
          </w:p>
        </w:tc>
        <w:tc>
          <w:tcPr>
            <w:tcW w:type="dxa" w:w="12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23000000">
            <w:pPr>
              <w:spacing w:after="0" w:before="0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400</w:t>
            </w:r>
          </w:p>
        </w:tc>
      </w:tr>
      <w:tr>
        <w:trPr>
          <w:trHeight w:hRule="atLeast" w:val="7511"/>
        </w:trPr>
        <w:tc>
          <w:tcPr>
            <w:tcW w:type="dxa" w:w="5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24000000">
            <w:pPr>
              <w:spacing w:after="0" w:before="0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  <w:tc>
          <w:tcPr>
            <w:tcW w:type="dxa" w:w="75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25000000">
            <w:pPr>
              <w:spacing w:after="0" w:before="0"/>
              <w:ind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Эдель.</w:t>
            </w:r>
          </w:p>
          <w:p w14:paraId="26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20.20.14.000-00000005 - Средство дезинфицирующее</w:t>
            </w:r>
          </w:p>
          <w:p w14:paraId="27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</w:p>
          <w:p w14:paraId="28000000">
            <w:pPr>
              <w:spacing w:after="24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Кожный антисептик - готовая к применению жидкость. В качестве действующих веществ, средство содержит изопропиловый спирт 65%, ЧАС 0,25%, гуанидин, тетранил У, а также функциональные добавки, в том числе увлажняющие.</w:t>
            </w:r>
            <w:r>
              <w:rPr>
                <w:rFonts w:ascii="Times New Roman" w:hAnsi="Times New Roman"/>
                <w:color w:val="000000"/>
                <w:sz w:val="24"/>
              </w:rPr>
              <w:br/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Средство обладает пролонгированным эффектом в течение 5 часов. Средство обладает антимикробной активностью в отношении грамположительных и грамотрицательных бактерий (включая микобактерии туберкулеза), вирусов (включая полиомиелита, ВИЧ) и грибов (кандидозы, дерматофитии).  Средство предназначено: для гигиенической обработки рук медицинского персонала, обработки рук хирургов, для обеззараживания кожи операционного и инъекционного полей пациентов, для обработки локтевых сгибов доноров, для обработки кожи перед введением катетеров и пункцией суставов, для обработки перчаток, надетых на руки персонала, для дезинфекции небольших по площади, а также труднодоступных для обработки поверхностей в помещениях, предметов обстановки. Экономические показатели (норма расхода): </w:t>
            </w:r>
            <w:r>
              <w:rPr>
                <w:rFonts w:ascii="Times New Roman" w:hAnsi="Times New Roman"/>
                <w:color w:val="000000"/>
                <w:sz w:val="24"/>
              </w:rPr>
              <w:br/>
            </w:r>
            <w:r>
              <w:rPr>
                <w:rFonts w:ascii="Times New Roman" w:hAnsi="Times New Roman"/>
                <w:color w:val="000000"/>
                <w:sz w:val="24"/>
              </w:rPr>
              <w:t>- гигиеническая обработка рук: 3 мл при времени обработки 15 секунд, для профилактики туберкулеза и вирусных инфекций дважды по 3 мл, 2 минуты;</w:t>
            </w:r>
            <w:r>
              <w:rPr>
                <w:rFonts w:ascii="Times New Roman" w:hAnsi="Times New Roman"/>
                <w:color w:val="000000"/>
                <w:sz w:val="24"/>
              </w:rPr>
              <w:br/>
            </w:r>
            <w:r>
              <w:rPr>
                <w:rFonts w:ascii="Times New Roman" w:hAnsi="Times New Roman"/>
                <w:color w:val="000000"/>
                <w:sz w:val="24"/>
              </w:rPr>
              <w:t>- общее время выдержки после обработки рук хирургов 2 минуты;</w:t>
            </w:r>
            <w:r>
              <w:rPr>
                <w:rFonts w:ascii="Times New Roman" w:hAnsi="Times New Roman"/>
                <w:color w:val="000000"/>
                <w:sz w:val="24"/>
              </w:rPr>
              <w:br/>
            </w:r>
            <w:r>
              <w:rPr>
                <w:rFonts w:ascii="Times New Roman" w:hAnsi="Times New Roman"/>
                <w:color w:val="000000"/>
                <w:sz w:val="24"/>
              </w:rPr>
              <w:t>- при дезинфекции поверхностей, предметов ухода за больными по противовирусному режиму - время выдержки 30 секунд.</w:t>
            </w:r>
            <w:r>
              <w:rPr>
                <w:rFonts w:ascii="Times New Roman" w:hAnsi="Times New Roman"/>
                <w:color w:val="000000"/>
                <w:sz w:val="24"/>
              </w:rPr>
              <w:br/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Фасовка: флакон  </w:t>
            </w:r>
            <w:r>
              <w:rPr>
                <w:rFonts w:ascii="Times New Roman" w:hAnsi="Times New Roman"/>
                <w:color w:val="000000"/>
                <w:sz w:val="24"/>
              </w:rPr>
              <w:t>0,1 л.</w:t>
            </w:r>
          </w:p>
          <w:p w14:paraId="29000000">
            <w:pPr>
              <w:spacing w:after="24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Производство Россия.</w:t>
            </w:r>
          </w:p>
        </w:tc>
        <w:tc>
          <w:tcPr>
            <w:tcW w:type="dxa" w:w="12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2A000000">
            <w:pPr>
              <w:spacing w:after="0" w:before="0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литр</w:t>
            </w:r>
          </w:p>
        </w:tc>
        <w:tc>
          <w:tcPr>
            <w:tcW w:type="dxa" w:w="12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2B000000">
            <w:pPr>
              <w:spacing w:after="0" w:before="0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14</w:t>
            </w:r>
          </w:p>
        </w:tc>
      </w:tr>
      <w:tr>
        <w:trPr>
          <w:trHeight w:hRule="atLeast" w:val="3943"/>
        </w:trPr>
        <w:tc>
          <w:tcPr>
            <w:tcW w:type="dxa" w:w="5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2C000000">
            <w:pPr>
              <w:spacing w:after="0" w:before="0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  <w:tc>
          <w:tcPr>
            <w:tcW w:type="dxa" w:w="75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2D000000">
            <w:pPr>
              <w:spacing w:after="0" w:before="0"/>
              <w:ind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Триосепт-Окси.</w:t>
            </w:r>
          </w:p>
          <w:p w14:paraId="2E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20.20.14.000-00000005 - Средство дезинфицирующее</w:t>
            </w:r>
          </w:p>
          <w:p w14:paraId="2F000000">
            <w:pPr>
              <w:pStyle w:val="Style_3"/>
              <w:rPr>
                <w:rFonts w:ascii="Times New Roman" w:hAnsi="Times New Roman"/>
                <w:color w:val="000000"/>
              </w:rPr>
            </w:pPr>
          </w:p>
          <w:p w14:paraId="30000000">
            <w:pPr>
              <w:pStyle w:val="Style_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Средство для дезинфекции и стерилизации. Жидкий концентрат.</w:t>
            </w:r>
          </w:p>
          <w:p w14:paraId="31000000">
            <w:pPr>
              <w:pStyle w:val="Style_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Состав: ДВ - перекись водорода – 25%, ЧАС – 5%, фосфорная кислота 1,5% а также функциональные добавки и ингибитор коррозии; Не  содержит аминов, гуанидинов, спиртов, органических кислот, искусственных ароматизаторов.</w:t>
            </w:r>
          </w:p>
          <w:p w14:paraId="32000000">
            <w:pPr>
              <w:pStyle w:val="Style_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рН 1% водного раствора средства –  3,0. </w:t>
            </w:r>
          </w:p>
          <w:p w14:paraId="33000000">
            <w:pPr>
              <w:pStyle w:val="Style_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Срок годности –  2 года, рабочих растворов – 14 суток при многократном использовании. </w:t>
            </w:r>
          </w:p>
          <w:p w14:paraId="34000000">
            <w:pPr>
              <w:pStyle w:val="Style_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Антимикробная активность: средство проявляет бактерицидное (в том числе в отношении возбудителей внутрибольничных инфекций, включая метициллен-резистентный стафилококк, ванкомицин-резистентный энтерококк, синегнойную палочку и в отношении анаэробных инфекций), туберкулоцидное, вирулицидное в отношении всех известных вирусов-патогенов человека, фунгицидное (в т. ч. в отношении плесневых грибов)  и овоцидные свойства в отношении возбудителей кишечных гельминтозов и спороцидное действие. </w:t>
            </w:r>
          </w:p>
          <w:p w14:paraId="35000000">
            <w:pPr>
              <w:pStyle w:val="Style_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Расщепляет биопленки, образуемые микроорганизмами.</w:t>
            </w:r>
          </w:p>
          <w:p w14:paraId="36000000">
            <w:pPr>
              <w:pStyle w:val="Style_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Используется в ультразвуковых установках любого типа. </w:t>
            </w:r>
          </w:p>
          <w:p w14:paraId="37000000">
            <w:pPr>
              <w:pStyle w:val="Style_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Обладает утвержденными режимами:</w:t>
            </w:r>
          </w:p>
          <w:p w14:paraId="38000000">
            <w:pPr>
              <w:pStyle w:val="Style_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дезинфекция высокого уровня (ДВУ) эндоскопов.</w:t>
            </w:r>
          </w:p>
          <w:p w14:paraId="39000000">
            <w:pPr>
              <w:pStyle w:val="Style_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Выход рабочего раствора из 1 л средства составляет 10 л при экспозиции 5 мин  ручным способом;</w:t>
            </w:r>
          </w:p>
          <w:p w14:paraId="3A000000">
            <w:pPr>
              <w:pStyle w:val="Style_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При ДВУ механизированным способом - выход рабочего раствора из 1 л средства составляет 12,5 л при экспозиции 10 мин.</w:t>
            </w:r>
          </w:p>
          <w:p w14:paraId="3B000000">
            <w:pPr>
              <w:pStyle w:val="Style_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стерилизация ИМН, включая стоматологические инструменты, жесткие и гибкие эндоскопы, инструменты к ним.</w:t>
            </w:r>
          </w:p>
          <w:p w14:paraId="3C000000">
            <w:pPr>
              <w:pStyle w:val="Style_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Выход рабочего раствора из 1 л средства составляет 10 л при экспозиции 30 мин ручным способом; 10 л при экспозиции 15 мин. механизированным способом;</w:t>
            </w:r>
          </w:p>
          <w:p w14:paraId="3D000000">
            <w:pPr>
              <w:pStyle w:val="Style_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дезинфекции, совмещенной с ПСО, изделий медицинского назначения, включая хирургические и стоматологические инструменты, инструменты к эндоскопам, в т.ч. при анаэробных инфекциях и туберкулезе, ручным и механизированным способами.</w:t>
            </w:r>
          </w:p>
          <w:p w14:paraId="3E000000">
            <w:pPr>
              <w:pStyle w:val="Style_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Выход рабочего раствора  при дезинфекции ИМН с замковыми частями, имеющих каналы и полости, совмещенной с ПСО, при инфекциях включая туберкулез, составляет 40 л при экспозиции 10 минут ручным способом.</w:t>
            </w:r>
          </w:p>
          <w:p w14:paraId="3F000000">
            <w:pPr>
              <w:pStyle w:val="Style_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дезинфекции биологического материала, включая кровь (в т.ч. сгустки крови), мочу и др.</w:t>
            </w:r>
          </w:p>
          <w:p w14:paraId="40000000">
            <w:pPr>
              <w:pStyle w:val="Style_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Выход рабочего раствора из 1 л средства для дезинфекции поверхностей составляет:  </w:t>
            </w:r>
          </w:p>
          <w:p w14:paraId="41000000">
            <w:pPr>
              <w:pStyle w:val="Style_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 при анаэробных инфекциях: 25 л при экспозиции 60 минут.</w:t>
            </w:r>
          </w:p>
          <w:p w14:paraId="42000000">
            <w:pPr>
              <w:pStyle w:val="Style_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 в отношении микобактерий туберкулеза  40  л при экспозиции 30 минут.</w:t>
            </w:r>
          </w:p>
          <w:p w14:paraId="43000000">
            <w:pPr>
              <w:pStyle w:val="Style_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-дезинфекции товарного яйца;</w:t>
            </w:r>
          </w:p>
          <w:p w14:paraId="44000000">
            <w:pPr>
              <w:pStyle w:val="Style_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Форма выпуска: флакон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00"/>
              </w:rPr>
              <w:t>1 л</w:t>
            </w:r>
          </w:p>
          <w:p w14:paraId="45000000">
            <w:pPr>
              <w:pStyle w:val="Style_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Производство Россия.</w:t>
            </w:r>
          </w:p>
        </w:tc>
        <w:tc>
          <w:tcPr>
            <w:tcW w:type="dxa" w:w="12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46000000">
            <w:pPr>
              <w:spacing w:after="0" w:before="0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литр</w:t>
            </w:r>
          </w:p>
        </w:tc>
        <w:tc>
          <w:tcPr>
            <w:tcW w:type="dxa" w:w="12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47000000">
            <w:pPr>
              <w:spacing w:after="0" w:before="0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20</w:t>
            </w:r>
          </w:p>
        </w:tc>
      </w:tr>
      <w:tr>
        <w:trPr>
          <w:trHeight w:hRule="atLeast" w:val="2469"/>
        </w:trPr>
        <w:tc>
          <w:tcPr>
            <w:tcW w:type="dxa" w:w="5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48000000">
            <w:pPr>
              <w:spacing w:after="0" w:before="0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5</w:t>
            </w:r>
          </w:p>
        </w:tc>
        <w:tc>
          <w:tcPr>
            <w:tcW w:type="dxa" w:w="75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49000000">
            <w:pPr>
              <w:spacing w:after="0" w:before="0"/>
              <w:ind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Славин-Дельта</w:t>
            </w:r>
          </w:p>
          <w:p w14:paraId="4A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20.20.14.000-00000005 - Средство дезинфицирующее</w:t>
            </w:r>
          </w:p>
          <w:p w14:paraId="4B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</w:p>
          <w:p w14:paraId="4C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Концентрированное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дезинфицирующее средство в  состав которого входит в  качестве активнодействующих веществ полисепт в пересчете на 100% полигексаметиленгуанидин (ПГМГ) гидрохлорид 3,0%, алкилдиметилбензиламмоний хлорид  2,0%,  глутаровый альдегид 3,5%,   неионогенное ПАВ, стабилизатор и другие функциональные добавки. </w:t>
            </w:r>
            <w:r>
              <w:rPr>
                <w:rFonts w:ascii="Times New Roman" w:hAnsi="Times New Roman"/>
                <w:color w:val="000000"/>
                <w:sz w:val="24"/>
              </w:rPr>
              <w:br/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Показатель концентрации водородных ионов рН 1% рабочего раствора  7,6 ед. Средство обладает антимикробной активностью в отношении грамотрицательных и грамположительных (включая микобактерии туберкулеза) микроорганизмов, вирусов (включая аденовирусы, вирусы гриппа, парагриппа и др. возбудителей острых респираторных инфекций, энтеровирусы, ротавирусы, вирус полиомиелита, вирусы энтеральных, парентеральных гепатитов А,В,С, герпеса, атипичной пневмонии, птичьего и свиного гриппа, ВИЧ и др.), грибов рода Кандида, Трихофитон и плесневых грибов, возбудителей внутрибольничных инфекций (включая синегнойною палочку и золотистый стафилококк) и особо опасных инфекций (чума, холера, туляремия, бруцеллез); средство обладает спороцидной активностью (в том числе в отношении спор возбудителей сибирской язвы и анаэробных инфекций). Средство обладает утвержденными режимами: - ДЕЗИНФЕКЦИЯ ПОВЕРХНОСТЕЙ (выход рабочего раствора из одного литра средства для дезинфекции поверхностей в отношении вирусов составляет 1000 л при времени экспозиции 60 мин.) </w:t>
            </w:r>
            <w:r>
              <w:rPr>
                <w:rFonts w:ascii="Times New Roman" w:hAnsi="Times New Roman"/>
                <w:color w:val="000000"/>
                <w:sz w:val="24"/>
              </w:rPr>
              <w:br/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- ДЕЗИНФЕКЦИИ ИМН (выход рабочего раствора из одного литра средства для дезинфекции ИМН в отношении вирусов </w:t>
            </w:r>
            <w:r>
              <w:rPr>
                <w:rFonts w:ascii="Times New Roman" w:hAnsi="Times New Roman"/>
                <w:color w:val="000000"/>
                <w:sz w:val="24"/>
              </w:rPr>
              <w:t>составляет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400 л при времени экспозиции 45 мин.); </w:t>
            </w:r>
            <w:r>
              <w:rPr>
                <w:rFonts w:ascii="Times New Roman" w:hAnsi="Times New Roman"/>
                <w:color w:val="000000"/>
                <w:sz w:val="24"/>
              </w:rPr>
              <w:br/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- ДЕЗИНФЕКЦИИ ИМН, СОВМЕЩЕННОЙ с ПСО ручным способом (выход рабочего раствора из одного литра средства для дезинфекции ИМН, совмещенной с ПСО, в отношении вирусов </w:t>
            </w:r>
            <w:r>
              <w:rPr>
                <w:rFonts w:ascii="Times New Roman" w:hAnsi="Times New Roman"/>
                <w:color w:val="000000"/>
                <w:sz w:val="24"/>
              </w:rPr>
              <w:t>составляет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100 л при общем времени обработки  20 мин.);  </w:t>
            </w:r>
            <w:r>
              <w:rPr>
                <w:rFonts w:ascii="Times New Roman" w:hAnsi="Times New Roman"/>
                <w:color w:val="000000"/>
                <w:sz w:val="24"/>
              </w:rPr>
              <w:br/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- ДЕЗИНФЕКЦИЯ ВЫСОКОГО УРОВНЯ (выход рабочего раствора из одного литра средства для проведения ДВУ </w:t>
            </w:r>
            <w:r>
              <w:rPr>
                <w:rFonts w:ascii="Times New Roman" w:hAnsi="Times New Roman"/>
                <w:color w:val="000000"/>
                <w:sz w:val="24"/>
              </w:rPr>
              <w:t>составляет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20 л при времени экспозиции 30 мин.);</w:t>
            </w:r>
            <w:r>
              <w:rPr>
                <w:rFonts w:ascii="Times New Roman" w:hAnsi="Times New Roman"/>
                <w:color w:val="000000"/>
                <w:sz w:val="24"/>
              </w:rPr>
              <w:br/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- СТЕРИЛИЗАЦИИ ИМН (выход рабочего раствора из одного литра средства для проведения стерилизации </w:t>
            </w:r>
            <w:r>
              <w:rPr>
                <w:rFonts w:ascii="Times New Roman" w:hAnsi="Times New Roman"/>
                <w:color w:val="000000"/>
                <w:sz w:val="24"/>
              </w:rPr>
              <w:t>составляет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15 л при времени экспозиции 15 мин.); Обладает пролонгированным остаточным эффектом 5 часов.</w:t>
            </w:r>
            <w:r>
              <w:rPr>
                <w:rFonts w:ascii="Times New Roman" w:hAnsi="Times New Roman"/>
                <w:color w:val="000000"/>
                <w:sz w:val="24"/>
              </w:rPr>
              <w:br/>
            </w:r>
            <w:r>
              <w:rPr>
                <w:rFonts w:ascii="Times New Roman" w:hAnsi="Times New Roman"/>
                <w:color w:val="000000"/>
                <w:sz w:val="24"/>
              </w:rPr>
              <w:t>Cрок годности рабочих растворов 28 сут.</w:t>
            </w:r>
            <w:r>
              <w:rPr>
                <w:rFonts w:ascii="Times New Roman" w:hAnsi="Times New Roman"/>
                <w:color w:val="000000"/>
                <w:sz w:val="24"/>
              </w:rPr>
              <w:br/>
            </w:r>
            <w:r>
              <w:rPr>
                <w:rFonts w:ascii="Times New Roman" w:hAnsi="Times New Roman"/>
                <w:color w:val="000000"/>
                <w:sz w:val="24"/>
              </w:rPr>
              <w:t>Фасовка: флаконы 1 л</w:t>
            </w:r>
            <w:r>
              <w:rPr>
                <w:rFonts w:ascii="Times New Roman" w:hAnsi="Times New Roman"/>
                <w:color w:val="000000"/>
                <w:sz w:val="24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с мерной шкалой (цена деления 100 мл) и мерной крышкой (</w:t>
            </w:r>
            <w:r>
              <w:rPr>
                <w:rFonts w:ascii="Times New Roman" w:hAnsi="Times New Roman"/>
                <w:color w:val="000000"/>
                <w:sz w:val="24"/>
              </w:rPr>
              <w:t>20 мл).</w:t>
            </w:r>
          </w:p>
          <w:p w14:paraId="4D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Производство Россия.</w:t>
            </w:r>
          </w:p>
        </w:tc>
        <w:tc>
          <w:tcPr>
            <w:tcW w:type="dxa" w:w="12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4E000000">
            <w:pPr>
              <w:spacing w:after="0" w:before="0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литр</w:t>
            </w:r>
          </w:p>
        </w:tc>
        <w:tc>
          <w:tcPr>
            <w:tcW w:type="dxa" w:w="12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4F000000">
            <w:pPr>
              <w:spacing w:after="0" w:before="0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90</w:t>
            </w:r>
          </w:p>
        </w:tc>
      </w:tr>
      <w:tr>
        <w:trPr>
          <w:trHeight w:hRule="atLeast" w:val="2193"/>
        </w:trPr>
        <w:tc>
          <w:tcPr>
            <w:tcW w:type="dxa" w:w="5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50000000">
            <w:pPr>
              <w:spacing w:after="0" w:before="0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6</w:t>
            </w:r>
          </w:p>
        </w:tc>
        <w:tc>
          <w:tcPr>
            <w:tcW w:type="dxa" w:w="75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bottom"/>
          </w:tcPr>
          <w:p w14:paraId="51000000">
            <w:pPr>
              <w:spacing w:after="0" w:before="0"/>
              <w:ind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Део-Хлор Люкс.</w:t>
            </w:r>
          </w:p>
          <w:p w14:paraId="52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20.20.14.000-00000009 - Средство дезинфицирующее</w:t>
            </w:r>
          </w:p>
          <w:p w14:paraId="53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</w:p>
          <w:p w14:paraId="54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Дезинфицирующее средство содержащие в качестве действующего вещества натриевую соль дихлоризоциануровой кислоты 98%, а также ПАВы, специальные добавки, с моющим эффектом. Таблетка массой 3,5 грамма выделяет при растворении в воде 1,5 грамма, активного хл</w:t>
            </w:r>
            <w:r>
              <w:rPr>
                <w:rFonts w:ascii="Times New Roman" w:hAnsi="Times New Roman"/>
                <w:color w:val="000000"/>
                <w:sz w:val="24"/>
              </w:rPr>
              <w:t>ора 50%. Антимикробная активность: в отношении возбудителей туберкулеза, анаэробных и внутрибольничных инфекций, особо опасных инфекций – чумы, холеры, туляремии, сибирской язвы, в том числе споровой формы; вирусов (в т.ч. полиомиелита, гепатитов А, В, С, ВИЧ-инфекции), грибов и плесеней. Срок годности рабочих растворов –5 суток. После окончания дезинфекции (любым способом) не требуется проведение влажной уборки в помещении. Средство обладает спороцидным действием. Фасовка: банка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300 таблеток.</w:t>
            </w:r>
          </w:p>
          <w:p w14:paraId="55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Производство Россия.</w:t>
            </w:r>
          </w:p>
        </w:tc>
        <w:tc>
          <w:tcPr>
            <w:tcW w:type="dxa" w:w="12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56000000">
            <w:pPr>
              <w:spacing w:after="0" w:before="0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кг</w:t>
            </w:r>
          </w:p>
        </w:tc>
        <w:tc>
          <w:tcPr>
            <w:tcW w:type="dxa" w:w="12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57000000">
            <w:pPr>
              <w:spacing w:after="0" w:before="0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216</w:t>
            </w:r>
          </w:p>
        </w:tc>
      </w:tr>
      <w:tr>
        <w:trPr>
          <w:trHeight w:hRule="atLeast" w:val="4997"/>
        </w:trPr>
        <w:tc>
          <w:tcPr>
            <w:tcW w:type="dxa" w:w="5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58000000">
            <w:pPr>
              <w:spacing w:after="0" w:before="0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7</w:t>
            </w:r>
          </w:p>
        </w:tc>
        <w:tc>
          <w:tcPr>
            <w:tcW w:type="dxa" w:w="75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bottom"/>
          </w:tcPr>
          <w:p w14:paraId="59000000">
            <w:pPr>
              <w:spacing w:after="0" w:before="0"/>
              <w:ind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Спецэнзим.</w:t>
            </w:r>
          </w:p>
          <w:p w14:paraId="5A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20.20.14.000-00000005 - Средство дезинфицирующее</w:t>
            </w:r>
          </w:p>
          <w:p w14:paraId="5B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</w:p>
          <w:p w14:paraId="5C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Жидкое концентрированное средство для очистки изделий медицинского назначения. </w:t>
            </w:r>
          </w:p>
          <w:p w14:paraId="5D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Средство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в качестве активно действующих </w:t>
            </w:r>
            <w:r>
              <w:rPr>
                <w:rFonts w:ascii="Times New Roman" w:hAnsi="Times New Roman"/>
                <w:color w:val="000000"/>
                <w:sz w:val="24"/>
              </w:rPr>
              <w:t>веществ содержит комплекс трех ферментов (протеаза, липаза и амилаза), а также функциональные и технологические  добавки, в том числе поверхностно-активные вещества (ПАВ), обеспечивающие высокие очищающие свойства препарата. Средство не содержит активных антимикробных субстанций, не содержит фиксирующих протеиновые загрязнения соединений (альдегидов и спиртов), токсичных соединений. Рабочие растворы не вызывают коррозии металлов, не повреж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дают термолабильные материалы, </w:t>
            </w:r>
            <w:r>
              <w:rPr>
                <w:rFonts w:ascii="Times New Roman" w:hAnsi="Times New Roman"/>
                <w:color w:val="000000"/>
                <w:sz w:val="24"/>
              </w:rPr>
              <w:t>обладать низким пенообразованием. pH средства 8,0.</w:t>
            </w:r>
          </w:p>
          <w:p w14:paraId="5E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Средство предназначено: для предварительной очистки жестких и гибких эндоскопов и инструментов к ним, УЗ - датчиков специального назначения и ультразвуковых наконечников; для окончательной очистки (перед ДВУ) эндоскопов для нестерильных эндоскопических манипуляций и принадлежностей к ним  ручным способом; для предстерилизационной очистки изделий медицинского назначения (ИМН) из различных материалов, включая инструменты к эндоскопам, хирургические, микрохирургические, канальные (в том числе эндоскопы для стерильных эндоскопических вмешательств), УЗ-датчики специального назначения, ультразвуковые наконечники и стоматологические (в том числе вращающиеся) инструменты ручным способом; для предстерилизационной очистки изделий медицинского назначения из металлов, включая хирургические, микрохирургические, канальные, инструменты к эндоскопам, стоматологические (в том числе вращающиеся) инструменты  механизированным способом в ультразвуковых (УЗ) установках, для  предстерилизационной и окончательной очистки гибких эндоскопов в автоматических установках.</w:t>
            </w:r>
          </w:p>
          <w:p w14:paraId="5F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Выход рабочего раствора из 1 л концентрата по режимам ПСО:</w:t>
            </w:r>
          </w:p>
          <w:p w14:paraId="60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- канальных и замковых ИМН при ручном способе 400л при времени экспозиции  15 минут, последующее ополаскивание проточной питьевой водой 5 минут; </w:t>
            </w:r>
          </w:p>
          <w:p w14:paraId="61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- инструментов к эндоскопам при времени экспозиции 10 минут при ручной обработке 250л, в ультразвуковых установках - 400л </w:t>
            </w:r>
          </w:p>
          <w:p w14:paraId="62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 эндоскопов при ручном способе - 250 л и механизированном –  400 л.</w:t>
            </w:r>
          </w:p>
          <w:p w14:paraId="63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Срок годности препарата: в невскрытой упаковке производителя - 3 года</w:t>
            </w:r>
          </w:p>
          <w:p w14:paraId="64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Форма вы</w:t>
            </w:r>
            <w:r>
              <w:rPr>
                <w:rFonts w:ascii="Times New Roman" w:hAnsi="Times New Roman"/>
                <w:color w:val="000000"/>
                <w:sz w:val="24"/>
              </w:rPr>
              <w:t>пуска: флакон 1 литр.</w:t>
            </w:r>
          </w:p>
          <w:p w14:paraId="65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Производство Россия.</w:t>
            </w:r>
          </w:p>
        </w:tc>
        <w:tc>
          <w:tcPr>
            <w:tcW w:type="dxa" w:w="12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66000000">
            <w:pPr>
              <w:spacing w:after="0" w:before="0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литр</w:t>
            </w:r>
          </w:p>
        </w:tc>
        <w:tc>
          <w:tcPr>
            <w:tcW w:type="dxa" w:w="12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67000000">
            <w:pPr>
              <w:spacing w:after="0" w:before="0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30</w:t>
            </w:r>
          </w:p>
        </w:tc>
      </w:tr>
      <w:tr>
        <w:trPr>
          <w:trHeight w:hRule="atLeast" w:val="871"/>
        </w:trPr>
        <w:tc>
          <w:tcPr>
            <w:tcW w:type="dxa" w:w="5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68000000">
            <w:pPr>
              <w:spacing w:after="0" w:before="0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8</w:t>
            </w:r>
          </w:p>
        </w:tc>
        <w:tc>
          <w:tcPr>
            <w:tcW w:type="dxa" w:w="75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bottom"/>
          </w:tcPr>
          <w:p w14:paraId="69000000">
            <w:pPr>
              <w:spacing w:after="0" w:before="0"/>
              <w:ind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Оксицид.</w:t>
            </w:r>
          </w:p>
          <w:p w14:paraId="6A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20.20.14.000-00000004 - Средство дезинфицирующее</w:t>
            </w:r>
          </w:p>
          <w:p w14:paraId="6B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</w:p>
          <w:p w14:paraId="6C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Средство в виде белого. с цветными гранулами, рассыпчатого порошка, растворимого в воде.</w:t>
            </w:r>
          </w:p>
          <w:p w14:paraId="6D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По параметрам острой токсичности согласно ГОСТ12.1.007-76 средство относиться к 3 классу умеренно опасных веществ при введении в желудок и к 4 классу малоопасных веществ при нанесении на кожу. Средство обладает бактерицидной (в том числе возбудителей туберкулеза тестировано на mycobacterium terrae) вирулицидной, фунгицидной, спороцидной активностью, ,а так же моющими свойствами. </w:t>
            </w:r>
          </w:p>
          <w:p w14:paraId="6E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Средство предназначено:</w:t>
            </w:r>
          </w:p>
          <w:p w14:paraId="6F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- для дезинфекции и мытья поверхностей в помещениях, жесткой мебели, предметов обстановки, </w:t>
            </w:r>
          </w:p>
          <w:p w14:paraId="70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поверхностей аппаратов приборов. санитарно-технического оборудования, белья, посуды лабораторной, столовой ( в том числе однократного использования).предметов для мытья посуды, резиновых и полипропиленовых ковриков, уборочного инвентаря, оборудования и материала, игрушек, спортивного инвентаря, предметов ухода за больными;</w:t>
            </w:r>
          </w:p>
          <w:p w14:paraId="71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очисткой, изделий медицинского назначения </w:t>
            </w:r>
          </w:p>
          <w:p w14:paraId="72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 для дезинфекции, наружных поверхностей наркозно-дыхательной аппаратуры,</w:t>
            </w:r>
          </w:p>
          <w:p w14:paraId="73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 для предстерилизационной очистки, не совмещенной с дезинфекцией,</w:t>
            </w:r>
          </w:p>
          <w:p w14:paraId="74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изделий медицинского назначения из разных материалов ручным способом;</w:t>
            </w:r>
          </w:p>
          <w:p w14:paraId="75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 для предстерилизационной очистки, не совмещенной с дезинфекцией,</w:t>
            </w:r>
          </w:p>
          <w:p w14:paraId="76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хирургических и стоматологических инструментов механизированным</w:t>
            </w:r>
          </w:p>
          <w:p w14:paraId="77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способом в ультразвуковых установках.</w:t>
            </w:r>
          </w:p>
          <w:p w14:paraId="78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 для предварительной очистки эндоскопов и инструментов к ним;</w:t>
            </w:r>
          </w:p>
          <w:p w14:paraId="79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 для окончательной очистки эндоскопов перед дезинфекцией высокого</w:t>
            </w:r>
          </w:p>
          <w:p w14:paraId="7A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уровня (ДВУ);</w:t>
            </w:r>
          </w:p>
          <w:p w14:paraId="7B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 для ДВУ эндоскопов;</w:t>
            </w:r>
          </w:p>
          <w:p w14:paraId="7C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 для стерилизации изделий медицинского назначения (включая</w:t>
            </w:r>
          </w:p>
          <w:p w14:paraId="7D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хирургические и стоматологические, кроме боров, инструменты; </w:t>
            </w:r>
            <w:r>
              <w:rPr>
                <w:rFonts w:ascii="Times New Roman" w:hAnsi="Times New Roman"/>
                <w:color w:val="000000"/>
                <w:sz w:val="24"/>
              </w:rPr>
              <w:t>детские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и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>гибкие эндоскопы и инструменты к ним).</w:t>
            </w:r>
          </w:p>
          <w:p w14:paraId="7E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Фасовка: 1,5кг.</w:t>
            </w:r>
          </w:p>
          <w:p w14:paraId="7F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Производство Россия.</w:t>
            </w:r>
          </w:p>
        </w:tc>
        <w:tc>
          <w:tcPr>
            <w:tcW w:type="dxa" w:w="12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80000000">
            <w:pPr>
              <w:spacing w:after="0" w:before="0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кг</w:t>
            </w:r>
            <w:r>
              <w:rPr>
                <w:rFonts w:ascii="Times New Roman" w:hAnsi="Times New Roman"/>
                <w:color w:val="000000"/>
                <w:sz w:val="24"/>
              </w:rPr>
              <w:t>.</w:t>
            </w:r>
          </w:p>
        </w:tc>
        <w:tc>
          <w:tcPr>
            <w:tcW w:type="dxa" w:w="12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81000000">
            <w:pPr>
              <w:spacing w:after="0" w:before="0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75</w:t>
            </w:r>
          </w:p>
        </w:tc>
      </w:tr>
      <w:tr>
        <w:trPr>
          <w:trHeight w:hRule="atLeast" w:val="127"/>
        </w:trPr>
        <w:tc>
          <w:tcPr>
            <w:tcW w:type="dxa" w:w="5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82000000">
            <w:pPr>
              <w:spacing w:after="0" w:before="0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9</w:t>
            </w:r>
          </w:p>
        </w:tc>
        <w:tc>
          <w:tcPr>
            <w:tcW w:type="dxa" w:w="75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bottom"/>
          </w:tcPr>
          <w:p w14:paraId="83000000">
            <w:pPr>
              <w:spacing w:after="0" w:before="0"/>
              <w:ind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Эдель.</w:t>
            </w:r>
          </w:p>
          <w:p w14:paraId="84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20.20.14.000-00000005 - Средство дезинфицирующее</w:t>
            </w:r>
          </w:p>
          <w:p w14:paraId="85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</w:p>
          <w:p w14:paraId="86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Кожный антисептик - готовая к применению жидкость. В качестве действующих веществ, средство содержит изопропиловый спирт  65%, ЧАС 0,25%, гуанидин, тетранил У, а также функциональные добавки, в том числе увлажняющие.</w:t>
            </w:r>
          </w:p>
          <w:p w14:paraId="87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Средство обладает пролонгированным эффектом в течение 5 часов. Средство обладает антимикробной активностью в отношении грамположительных и грамотрицательных бактерий (включая микобактерии туберкулеза), вирусов (включая полиомиелита, ВИЧ) и грибов (кандидозы, дерматофитии).  Средство предназначено: для гигиенической обработки рук медицинского персонала, обработки рук хирургов, для обеззараживания кожи операционного и инъекционного полей пациентов, для обработки локтевых сгибов доноров, для обработки кожи перед введением катетеров и пункцией суставов, для обработки перчаток, надетых на руки персонала, для дезинфекции небольших по площади, а также труднодоступных для обработки поверхностей в помещениях, предметов обстановки. Экономические показатели (норма расхода): </w:t>
            </w:r>
          </w:p>
          <w:p w14:paraId="88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 гигиеническая обработка рук: 3 мл при времени обработки 15секунд, для профилактики туберкулеза и вирусных инфекций дважды по 3 мл,   2 минуты;</w:t>
            </w:r>
          </w:p>
          <w:p w14:paraId="89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 общее время выдержки после обработки рук хирургов 2 минуты;</w:t>
            </w:r>
          </w:p>
          <w:p w14:paraId="8A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 при дезинфекции поверхностей, предметов ухода за больными по противовирусному режиму - время выдержки 30 секунд.</w:t>
            </w:r>
          </w:p>
          <w:p w14:paraId="8B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Фасовка: флакон 1л.</w:t>
            </w:r>
          </w:p>
          <w:p w14:paraId="8C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Производство Россия.</w:t>
            </w:r>
          </w:p>
        </w:tc>
        <w:tc>
          <w:tcPr>
            <w:tcW w:type="dxa" w:w="12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8D000000">
            <w:pPr>
              <w:spacing w:after="0" w:before="0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литр</w:t>
            </w:r>
          </w:p>
        </w:tc>
        <w:tc>
          <w:tcPr>
            <w:tcW w:type="dxa" w:w="12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8E000000">
            <w:pPr>
              <w:spacing w:after="0" w:before="0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100</w:t>
            </w:r>
          </w:p>
        </w:tc>
      </w:tr>
      <w:tr>
        <w:trPr>
          <w:trHeight w:hRule="atLeast" w:val="127"/>
        </w:trPr>
        <w:tc>
          <w:tcPr>
            <w:tcW w:type="dxa" w:w="5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8F000000">
            <w:pPr>
              <w:spacing w:after="0" w:before="0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10</w:t>
            </w:r>
          </w:p>
        </w:tc>
        <w:tc>
          <w:tcPr>
            <w:tcW w:type="dxa" w:w="75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bottom"/>
          </w:tcPr>
          <w:p w14:paraId="90000000">
            <w:pPr>
              <w:spacing w:after="0" w:before="0"/>
              <w:ind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Део-Бактер Лайт.</w:t>
            </w:r>
          </w:p>
          <w:p w14:paraId="91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20.20.14.000-00000005 - Средство дезинфицирующее</w:t>
            </w:r>
          </w:p>
          <w:p w14:paraId="92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</w:p>
          <w:p w14:paraId="93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Концентрированное дезинфицирующее средство для целей дезинфекции и предстерилизационной очистки.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>Действующее вещество: Алкилдиметилбензиламмоний хлорид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10%.Средство не содержит в своем составе гуанидины, альдегиды, амины, перекиси, кислоты, ферменты, хлор, фенолы и их производные.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>Срок годности концентрата – 5 лет, рабочих растворов – 40 суток.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Антимикробная активность: обладает бактерицидной активностью в отношении грамотрицательных и грамположительных бактерий (включая возбудителей туберкулеза, внутрибольничных инфекций), вирулицидной (тестировано на штамме вируса полиомиелита I типа) и фунгицидной активностью (в отношении возбудителей кандидоза и трихофитии и плесневых грибов, в том числе Aspergillus niger, Mucor spp.).Выход рабочего раствора из 1л концентрата:- для текущей уборки по вирусному режиму составляет 100 л при времени экспозиции 15 мин;- дезинфекции посуды без остатков пищи по бактериальному режиму составляет 200 л при времени экспозиции 15 мин, с остатками пищи 200 л при времени экспозиции 20 минут.- для текущей дезинфекции кувезов по бактериальному режиму – 200 л при экспозиции 15 минут.- при дезинфекции по вирусному режиму наркозо-дыхательной аппартуры – 200 л при экспозиции 45 минут.- для дезинфекции ручным способом, совмещенной с ПСО, изделий медицинского назначения с замковыми частями, имеющих каналы и полости, при бактериальных, вирусных, грибковых инфекциях </w:t>
            </w:r>
            <w:r>
              <w:rPr>
                <w:rFonts w:ascii="Times New Roman" w:hAnsi="Times New Roman"/>
                <w:color w:val="000000"/>
                <w:sz w:val="24"/>
              </w:rPr>
              <w:t>составляет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40 л при времени экспозиции 15 минут.- для ПСО механизированным способом изделий медицинского назначения не имеющие замковые части – 100 л при времени экспозиции  5 минут.- для проведения генеральной уборки в хирургических отделениях, процедурных кабинетах 100 л при времени экспозиции 15 мин. Форма выпуска: пл</w:t>
            </w:r>
            <w:r>
              <w:rPr>
                <w:rFonts w:ascii="Times New Roman" w:hAnsi="Times New Roman"/>
                <w:color w:val="000000"/>
                <w:sz w:val="24"/>
              </w:rPr>
              <w:t>астиковые флаконы 1 л.</w:t>
            </w:r>
          </w:p>
          <w:p w14:paraId="94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Производство Россия.</w:t>
            </w:r>
          </w:p>
        </w:tc>
        <w:tc>
          <w:tcPr>
            <w:tcW w:type="dxa" w:w="12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95000000">
            <w:pPr>
              <w:spacing w:after="0" w:before="0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литр</w:t>
            </w:r>
          </w:p>
        </w:tc>
        <w:tc>
          <w:tcPr>
            <w:tcW w:type="dxa" w:w="12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96000000">
            <w:pPr>
              <w:spacing w:after="0" w:before="0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100</w:t>
            </w:r>
          </w:p>
        </w:tc>
      </w:tr>
      <w:tr>
        <w:trPr>
          <w:trHeight w:hRule="atLeast" w:val="127"/>
        </w:trPr>
        <w:tc>
          <w:tcPr>
            <w:tcW w:type="dxa" w:w="5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97000000">
            <w:pPr>
              <w:spacing w:after="0" w:before="0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11</w:t>
            </w:r>
          </w:p>
        </w:tc>
        <w:tc>
          <w:tcPr>
            <w:tcW w:type="dxa" w:w="75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bottom"/>
          </w:tcPr>
          <w:p w14:paraId="98000000">
            <w:pPr>
              <w:spacing w:after="0" w:before="0"/>
              <w:ind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Ника-Супер.</w:t>
            </w:r>
          </w:p>
          <w:p w14:paraId="99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20.20.14.000-00000005 - Средство дезинфицирующее</w:t>
            </w:r>
          </w:p>
          <w:p w14:paraId="9A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</w:p>
          <w:p w14:paraId="9B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Концентрированное средство для мытья посуды в посудомоечных машинах. Средство представляет собой водный раствор поверхностно-активного вещества, активных добавок и отдушки, относится к малоопасным веществам, не обладает кожно-резорбтивным, кожно-раздражающим и сенсибилизирующим действиями, хорошо смывается с поверхности посуд</w:t>
            </w:r>
            <w:r>
              <w:rPr>
                <w:rFonts w:ascii="Times New Roman" w:hAnsi="Times New Roman"/>
                <w:color w:val="000000"/>
                <w:sz w:val="24"/>
              </w:rPr>
              <w:t>ы. Фасовка: флакон 1л.</w:t>
            </w:r>
          </w:p>
          <w:p w14:paraId="9C000000">
            <w:pPr>
              <w:spacing w:after="0" w:before="0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Производство Россия.</w:t>
            </w:r>
          </w:p>
        </w:tc>
        <w:tc>
          <w:tcPr>
            <w:tcW w:type="dxa" w:w="12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9D000000">
            <w:pPr>
              <w:spacing w:after="0" w:before="0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литр</w:t>
            </w:r>
          </w:p>
        </w:tc>
        <w:tc>
          <w:tcPr>
            <w:tcW w:type="dxa" w:w="12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9E000000">
            <w:pPr>
              <w:spacing w:after="0" w:before="0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30</w:t>
            </w:r>
          </w:p>
        </w:tc>
      </w:tr>
    </w:tbl>
    <w:p w14:paraId="9F000000">
      <w:pPr>
        <w:spacing w:after="200" w:before="0" w:line="276" w:lineRule="auto"/>
        <w:ind w:firstLine="709" w:left="0"/>
        <w:jc w:val="both"/>
        <w:rPr>
          <w:rFonts w:ascii="Times New Roman" w:hAnsi="Times New Roman"/>
          <w:color w:val="000000"/>
          <w:sz w:val="24"/>
        </w:rPr>
      </w:pPr>
    </w:p>
    <w:sectPr>
      <w:pgSz w:h="16838" w:orient="portrait" w:w="11906"/>
      <w:pgMar w:bottom="720" w:footer="709" w:gutter="0" w:header="709" w:left="720" w:right="720" w:top="72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Calibri" w:hAnsi="Calibri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  <w:pPr>
      <w:spacing w:after="40" w:before="40"/>
      <w:ind/>
    </w:pPr>
    <w:rPr>
      <w:color w:val="595959"/>
    </w:rPr>
  </w:style>
  <w:style w:default="1" w:styleId="Style_4_ch" w:type="character">
    <w:name w:val="Normal"/>
    <w:link w:val="Style_4"/>
    <w:rPr>
      <w:color w:val="595959"/>
    </w:rPr>
  </w:style>
  <w:style w:styleId="Style_5" w:type="paragraph">
    <w:name w:val="No Spacing"/>
    <w:link w:val="Style_5_ch"/>
    <w:rPr>
      <w:color w:val="595959"/>
    </w:rPr>
  </w:style>
  <w:style w:styleId="Style_5_ch" w:type="character">
    <w:name w:val="No Spacing"/>
    <w:link w:val="Style_5"/>
    <w:rPr>
      <w:color w:val="595959"/>
    </w:rPr>
  </w:style>
  <w:style w:styleId="Style_6" w:type="paragraph">
    <w:name w:val="toc 2"/>
    <w:next w:val="Style_4"/>
    <w:link w:val="Style_6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6_ch" w:type="character">
    <w:name w:val="toc 2"/>
    <w:link w:val="Style_6"/>
    <w:rPr>
      <w:rFonts w:ascii="XO Thames" w:hAnsi="XO Thames"/>
      <w:sz w:val="28"/>
    </w:rPr>
  </w:style>
  <w:style w:styleId="Style_7" w:type="paragraph">
    <w:name w:val="toc 4"/>
    <w:next w:val="Style_4"/>
    <w:link w:val="Style_7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7_ch" w:type="character">
    <w:name w:val="toc 4"/>
    <w:link w:val="Style_7"/>
    <w:rPr>
      <w:rFonts w:ascii="XO Thames" w:hAnsi="XO Thames"/>
      <w:sz w:val="28"/>
    </w:rPr>
  </w:style>
  <w:style w:styleId="Style_8" w:type="paragraph">
    <w:name w:val="toc 6"/>
    <w:next w:val="Style_4"/>
    <w:link w:val="Style_8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8_ch" w:type="character">
    <w:name w:val="toc 6"/>
    <w:link w:val="Style_8"/>
    <w:rPr>
      <w:rFonts w:ascii="XO Thames" w:hAnsi="XO Thames"/>
      <w:sz w:val="28"/>
    </w:rPr>
  </w:style>
  <w:style w:styleId="Style_9" w:type="paragraph">
    <w:name w:val="toc 7"/>
    <w:next w:val="Style_4"/>
    <w:link w:val="Style_9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9_ch" w:type="character">
    <w:name w:val="toc 7"/>
    <w:link w:val="Style_9"/>
    <w:rPr>
      <w:rFonts w:ascii="XO Thames" w:hAnsi="XO Thames"/>
      <w:sz w:val="28"/>
    </w:rPr>
  </w:style>
  <w:style w:styleId="Style_10" w:type="paragraph">
    <w:name w:val="footer"/>
    <w:basedOn w:val="Style_4"/>
    <w:link w:val="Style_10_ch"/>
    <w:pPr>
      <w:tabs>
        <w:tab w:leader="none" w:pos="4677" w:val="center"/>
        <w:tab w:leader="none" w:pos="9355" w:val="right"/>
      </w:tabs>
      <w:spacing w:after="0" w:before="0"/>
      <w:ind/>
    </w:pPr>
    <w:rPr>
      <w:rFonts w:ascii="Times New Roman" w:hAnsi="Times New Roman"/>
      <w:color w:val="000000"/>
      <w:sz w:val="24"/>
    </w:rPr>
  </w:style>
  <w:style w:styleId="Style_10_ch" w:type="character">
    <w:name w:val="footer"/>
    <w:basedOn w:val="Style_4_ch"/>
    <w:link w:val="Style_10"/>
    <w:rPr>
      <w:rFonts w:ascii="Times New Roman" w:hAnsi="Times New Roman"/>
      <w:color w:val="000000"/>
      <w:sz w:val="24"/>
    </w:rPr>
  </w:style>
  <w:style w:styleId="Style_11" w:type="paragraph">
    <w:name w:val="heading 3"/>
    <w:next w:val="Style_4"/>
    <w:link w:val="Style_11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1_ch" w:type="character">
    <w:name w:val="heading 3"/>
    <w:link w:val="Style_11"/>
    <w:rPr>
      <w:rFonts w:ascii="XO Thames" w:hAnsi="XO Thames"/>
      <w:b w:val="1"/>
      <w:sz w:val="26"/>
    </w:rPr>
  </w:style>
  <w:style w:styleId="Style_1" w:type="paragraph">
    <w:name w:val="Основной текст с отступом 31"/>
    <w:basedOn w:val="Style_4"/>
    <w:link w:val="Style_1_ch"/>
    <w:pPr>
      <w:spacing w:after="0" w:before="0"/>
      <w:ind w:firstLine="0" w:left="426"/>
      <w:jc w:val="both"/>
    </w:pPr>
    <w:rPr>
      <w:rFonts w:ascii="Times New Roman" w:hAnsi="Times New Roman"/>
      <w:color w:val="000000"/>
    </w:rPr>
  </w:style>
  <w:style w:styleId="Style_1_ch" w:type="character">
    <w:name w:val="Основной текст с отступом 31"/>
    <w:basedOn w:val="Style_4_ch"/>
    <w:link w:val="Style_1"/>
    <w:rPr>
      <w:rFonts w:ascii="Times New Roman" w:hAnsi="Times New Roman"/>
      <w:color w:val="000000"/>
    </w:rPr>
  </w:style>
  <w:style w:styleId="Style_12" w:type="paragraph">
    <w:name w:val="ConsNormal"/>
    <w:link w:val="Style_12_ch"/>
    <w:pPr>
      <w:widowControl w:val="0"/>
      <w:ind w:firstLine="720" w:left="0"/>
    </w:pPr>
    <w:rPr>
      <w:rFonts w:ascii="Arial" w:hAnsi="Arial"/>
      <w:sz w:val="24"/>
    </w:rPr>
  </w:style>
  <w:style w:styleId="Style_12_ch" w:type="character">
    <w:name w:val="ConsNormal"/>
    <w:link w:val="Style_12"/>
    <w:rPr>
      <w:rFonts w:ascii="Arial" w:hAnsi="Arial"/>
      <w:sz w:val="24"/>
    </w:rPr>
  </w:style>
  <w:style w:styleId="Style_13" w:type="paragraph">
    <w:name w:val="Pa6"/>
    <w:basedOn w:val="Style_4"/>
    <w:next w:val="Style_4"/>
    <w:link w:val="Style_13_ch"/>
    <w:pPr>
      <w:spacing w:after="0" w:before="0" w:line="201" w:lineRule="atLeast"/>
      <w:ind/>
    </w:pPr>
    <w:rPr>
      <w:rFonts w:ascii="Arial" w:hAnsi="Arial"/>
      <w:color w:val="000000"/>
      <w:sz w:val="24"/>
    </w:rPr>
  </w:style>
  <w:style w:styleId="Style_13_ch" w:type="character">
    <w:name w:val="Pa6"/>
    <w:basedOn w:val="Style_4_ch"/>
    <w:link w:val="Style_13"/>
    <w:rPr>
      <w:rFonts w:ascii="Arial" w:hAnsi="Arial"/>
      <w:color w:val="000000"/>
      <w:sz w:val="24"/>
    </w:rPr>
  </w:style>
  <w:style w:styleId="Style_14" w:type="paragraph">
    <w:name w:val="Pa7"/>
    <w:basedOn w:val="Style_4"/>
    <w:next w:val="Style_4"/>
    <w:link w:val="Style_14_ch"/>
    <w:pPr>
      <w:spacing w:after="0" w:before="0" w:line="201" w:lineRule="atLeast"/>
      <w:ind/>
    </w:pPr>
    <w:rPr>
      <w:rFonts w:ascii="Arial" w:hAnsi="Arial"/>
      <w:color w:val="000000"/>
      <w:sz w:val="24"/>
    </w:rPr>
  </w:style>
  <w:style w:styleId="Style_14_ch" w:type="character">
    <w:name w:val="Pa7"/>
    <w:basedOn w:val="Style_4_ch"/>
    <w:link w:val="Style_14"/>
    <w:rPr>
      <w:rFonts w:ascii="Arial" w:hAnsi="Arial"/>
      <w:color w:val="000000"/>
      <w:sz w:val="24"/>
    </w:rPr>
  </w:style>
  <w:style w:styleId="Style_15" w:type="paragraph">
    <w:name w:val="chars-value__value"/>
    <w:link w:val="Style_15_ch"/>
  </w:style>
  <w:style w:styleId="Style_15_ch" w:type="character">
    <w:name w:val="chars-value__value"/>
    <w:link w:val="Style_15"/>
  </w:style>
  <w:style w:styleId="Style_16" w:type="paragraph">
    <w:name w:val="Заголовок таблицы"/>
    <w:basedOn w:val="Style_4"/>
    <w:link w:val="Style_16_ch"/>
    <w:rPr>
      <w:rFonts w:ascii="Cambria" w:hAnsi="Cambria"/>
      <w:caps w:val="1"/>
      <w:color w:val="4F81BD"/>
    </w:rPr>
  </w:style>
  <w:style w:styleId="Style_16_ch" w:type="character">
    <w:name w:val="Заголовок таблицы"/>
    <w:basedOn w:val="Style_4_ch"/>
    <w:link w:val="Style_16"/>
    <w:rPr>
      <w:rFonts w:ascii="Cambria" w:hAnsi="Cambria"/>
      <w:caps w:val="1"/>
      <w:color w:val="4F81BD"/>
    </w:rPr>
  </w:style>
  <w:style w:styleId="Style_17" w:type="paragraph">
    <w:name w:val="Iau?iue1"/>
    <w:link w:val="Style_17_ch"/>
    <w:pPr>
      <w:widowControl w:val="0"/>
      <w:ind/>
    </w:pPr>
    <w:rPr>
      <w:rFonts w:ascii="Bookman Old Style" w:hAnsi="Bookman Old Style"/>
    </w:rPr>
  </w:style>
  <w:style w:styleId="Style_17_ch" w:type="character">
    <w:name w:val="Iau?iue1"/>
    <w:link w:val="Style_17"/>
    <w:rPr>
      <w:rFonts w:ascii="Bookman Old Style" w:hAnsi="Bookman Old Style"/>
    </w:rPr>
  </w:style>
  <w:style w:styleId="Style_18" w:type="paragraph">
    <w:name w:val="toc 3"/>
    <w:next w:val="Style_4"/>
    <w:link w:val="Style_1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8_ch" w:type="character">
    <w:name w:val="toc 3"/>
    <w:link w:val="Style_18"/>
    <w:rPr>
      <w:rFonts w:ascii="XO Thames" w:hAnsi="XO Thames"/>
      <w:sz w:val="28"/>
    </w:rPr>
  </w:style>
  <w:style w:styleId="Style_19" w:type="paragraph">
    <w:name w:val="Default"/>
    <w:link w:val="Style_19_ch"/>
    <w:rPr>
      <w:rFonts w:ascii="Times New Roman" w:hAnsi="Times New Roman"/>
      <w:color w:val="000000"/>
      <w:sz w:val="24"/>
    </w:rPr>
  </w:style>
  <w:style w:styleId="Style_19_ch" w:type="character">
    <w:name w:val="Default"/>
    <w:link w:val="Style_19"/>
    <w:rPr>
      <w:rFonts w:ascii="Times New Roman" w:hAnsi="Times New Roman"/>
      <w:color w:val="000000"/>
      <w:sz w:val="24"/>
    </w:rPr>
  </w:style>
  <w:style w:styleId="Style_20" w:type="paragraph">
    <w:name w:val="heading 5"/>
    <w:next w:val="Style_4"/>
    <w:link w:val="Style_2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20_ch" w:type="character">
    <w:name w:val="heading 5"/>
    <w:link w:val="Style_20"/>
    <w:rPr>
      <w:rFonts w:ascii="XO Thames" w:hAnsi="XO Thames"/>
      <w:b w:val="1"/>
      <w:sz w:val="22"/>
    </w:rPr>
  </w:style>
  <w:style w:styleId="Style_21" w:type="paragraph">
    <w:name w:val="heading 1"/>
    <w:basedOn w:val="Style_4"/>
    <w:next w:val="Style_4"/>
    <w:link w:val="Style_21_ch"/>
    <w:uiPriority w:val="9"/>
    <w:qFormat/>
    <w:pPr>
      <w:keepNext w:val="1"/>
      <w:spacing w:after="60" w:before="240"/>
      <w:ind/>
      <w:outlineLvl w:val="0"/>
    </w:pPr>
    <w:rPr>
      <w:rFonts w:ascii="Arial" w:hAnsi="Arial"/>
      <w:b w:val="1"/>
      <w:color w:val="000000"/>
      <w:sz w:val="32"/>
    </w:rPr>
  </w:style>
  <w:style w:styleId="Style_21_ch" w:type="character">
    <w:name w:val="heading 1"/>
    <w:basedOn w:val="Style_4_ch"/>
    <w:link w:val="Style_21"/>
    <w:rPr>
      <w:rFonts w:ascii="Arial" w:hAnsi="Arial"/>
      <w:b w:val="1"/>
      <w:color w:val="000000"/>
      <w:sz w:val="32"/>
    </w:rPr>
  </w:style>
  <w:style w:styleId="Style_22" w:type="paragraph">
    <w:name w:val="Hyperlink"/>
    <w:link w:val="Style_22_ch"/>
    <w:rPr>
      <w:color w:val="0000FF"/>
      <w:u w:val="single"/>
    </w:rPr>
  </w:style>
  <w:style w:styleId="Style_22_ch" w:type="character">
    <w:name w:val="Hyperlink"/>
    <w:link w:val="Style_22"/>
    <w:rPr>
      <w:color w:val="0000FF"/>
      <w:u w:val="single"/>
    </w:rPr>
  </w:style>
  <w:style w:styleId="Style_23" w:type="paragraph">
    <w:name w:val="Footnote"/>
    <w:link w:val="Style_23_ch"/>
    <w:pPr>
      <w:ind w:firstLine="851" w:left="0"/>
      <w:jc w:val="both"/>
    </w:pPr>
    <w:rPr>
      <w:rFonts w:ascii="XO Thames" w:hAnsi="XO Thames"/>
      <w:sz w:val="22"/>
    </w:rPr>
  </w:style>
  <w:style w:styleId="Style_23_ch" w:type="character">
    <w:name w:val="Footnote"/>
    <w:link w:val="Style_23"/>
    <w:rPr>
      <w:rFonts w:ascii="XO Thames" w:hAnsi="XO Thames"/>
      <w:sz w:val="22"/>
    </w:rPr>
  </w:style>
  <w:style w:styleId="Style_24" w:type="paragraph">
    <w:name w:val="toc 1"/>
    <w:next w:val="Style_4"/>
    <w:link w:val="Style_2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24_ch" w:type="character">
    <w:name w:val="toc 1"/>
    <w:link w:val="Style_24"/>
    <w:rPr>
      <w:rFonts w:ascii="XO Thames" w:hAnsi="XO Thames"/>
      <w:b w:val="1"/>
      <w:sz w:val="28"/>
    </w:rPr>
  </w:style>
  <w:style w:styleId="Style_25" w:type="paragraph">
    <w:name w:val="Header and Footer"/>
    <w:link w:val="Style_25_ch"/>
    <w:pPr>
      <w:spacing w:line="240" w:lineRule="auto"/>
      <w:ind/>
      <w:jc w:val="both"/>
    </w:pPr>
    <w:rPr>
      <w:rFonts w:ascii="XO Thames" w:hAnsi="XO Thames"/>
      <w:sz w:val="20"/>
    </w:rPr>
  </w:style>
  <w:style w:styleId="Style_25_ch" w:type="character">
    <w:name w:val="Header and Footer"/>
    <w:link w:val="Style_25"/>
    <w:rPr>
      <w:rFonts w:ascii="XO Thames" w:hAnsi="XO Thames"/>
      <w:sz w:val="20"/>
    </w:rPr>
  </w:style>
  <w:style w:styleId="Style_26" w:type="paragraph">
    <w:name w:val="Strong"/>
    <w:link w:val="Style_26_ch"/>
    <w:rPr>
      <w:b w:val="1"/>
    </w:rPr>
  </w:style>
  <w:style w:styleId="Style_26_ch" w:type="character">
    <w:name w:val="Strong"/>
    <w:link w:val="Style_26"/>
    <w:rPr>
      <w:b w:val="1"/>
    </w:rPr>
  </w:style>
  <w:style w:styleId="Style_27" w:type="paragraph">
    <w:name w:val="toc 9"/>
    <w:next w:val="Style_4"/>
    <w:link w:val="Style_2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7_ch" w:type="character">
    <w:name w:val="toc 9"/>
    <w:link w:val="Style_27"/>
    <w:rPr>
      <w:rFonts w:ascii="XO Thames" w:hAnsi="XO Thames"/>
      <w:sz w:val="28"/>
    </w:rPr>
  </w:style>
  <w:style w:styleId="Style_28" w:type="paragraph">
    <w:name w:val="chars-value__value-min-val"/>
    <w:link w:val="Style_28_ch"/>
  </w:style>
  <w:style w:styleId="Style_28_ch" w:type="character">
    <w:name w:val="chars-value__value-min-val"/>
    <w:link w:val="Style_28"/>
  </w:style>
  <w:style w:styleId="Style_3" w:type="paragraph">
    <w:name w:val="Содержимое таблицы"/>
    <w:basedOn w:val="Style_4"/>
    <w:link w:val="Style_3_ch"/>
    <w:pPr>
      <w:widowControl w:val="0"/>
      <w:spacing w:after="0" w:before="0"/>
      <w:ind/>
    </w:pPr>
    <w:rPr>
      <w:rFonts w:ascii="Arial" w:hAnsi="Arial"/>
      <w:color w:val="000000"/>
      <w:sz w:val="24"/>
    </w:rPr>
  </w:style>
  <w:style w:styleId="Style_3_ch" w:type="character">
    <w:name w:val="Содержимое таблицы"/>
    <w:basedOn w:val="Style_4_ch"/>
    <w:link w:val="Style_3"/>
    <w:rPr>
      <w:rFonts w:ascii="Arial" w:hAnsi="Arial"/>
      <w:color w:val="000000"/>
      <w:sz w:val="24"/>
    </w:rPr>
  </w:style>
  <w:style w:styleId="Style_29" w:type="paragraph">
    <w:name w:val="toc 8"/>
    <w:next w:val="Style_4"/>
    <w:link w:val="Style_2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9_ch" w:type="character">
    <w:name w:val="toc 8"/>
    <w:link w:val="Style_29"/>
    <w:rPr>
      <w:rFonts w:ascii="XO Thames" w:hAnsi="XO Thames"/>
      <w:sz w:val="28"/>
    </w:rPr>
  </w:style>
  <w:style w:styleId="Style_30" w:type="paragraph">
    <w:name w:val="List Paragraph"/>
    <w:basedOn w:val="Style_4"/>
    <w:link w:val="Style_30_ch"/>
    <w:pPr>
      <w:ind w:firstLine="0" w:left="720"/>
      <w:contextualSpacing w:val="1"/>
    </w:pPr>
  </w:style>
  <w:style w:styleId="Style_30_ch" w:type="character">
    <w:name w:val="List Paragraph"/>
    <w:basedOn w:val="Style_4_ch"/>
    <w:link w:val="Style_30"/>
  </w:style>
  <w:style w:styleId="Style_31" w:type="paragraph">
    <w:name w:val="toc 5"/>
    <w:next w:val="Style_4"/>
    <w:link w:val="Style_3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1_ch" w:type="character">
    <w:name w:val="toc 5"/>
    <w:link w:val="Style_31"/>
    <w:rPr>
      <w:rFonts w:ascii="XO Thames" w:hAnsi="XO Thames"/>
      <w:sz w:val="28"/>
    </w:rPr>
  </w:style>
  <w:style w:styleId="Style_32" w:type="paragraph">
    <w:name w:val="chars-value__value-text-desc"/>
    <w:link w:val="Style_32_ch"/>
  </w:style>
  <w:style w:styleId="Style_32_ch" w:type="character">
    <w:name w:val="chars-value__value-text-desc"/>
    <w:link w:val="Style_32"/>
  </w:style>
  <w:style w:styleId="Style_33" w:type="paragraph">
    <w:name w:val="Balloon Text"/>
    <w:basedOn w:val="Style_4"/>
    <w:link w:val="Style_33_ch"/>
    <w:pPr>
      <w:spacing w:after="0" w:before="0"/>
      <w:ind/>
    </w:pPr>
    <w:rPr>
      <w:rFonts w:ascii="Segoe UI" w:hAnsi="Segoe UI"/>
      <w:sz w:val="18"/>
    </w:rPr>
  </w:style>
  <w:style w:styleId="Style_33_ch" w:type="character">
    <w:name w:val="Balloon Text"/>
    <w:basedOn w:val="Style_4_ch"/>
    <w:link w:val="Style_33"/>
    <w:rPr>
      <w:rFonts w:ascii="Segoe UI" w:hAnsi="Segoe UI"/>
      <w:sz w:val="18"/>
    </w:rPr>
  </w:style>
  <w:style w:styleId="Style_34" w:type="paragraph">
    <w:name w:val="Subtitle"/>
    <w:next w:val="Style_4"/>
    <w:link w:val="Style_34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34_ch" w:type="character">
    <w:name w:val="Subtitle"/>
    <w:link w:val="Style_34"/>
    <w:rPr>
      <w:rFonts w:ascii="XO Thames" w:hAnsi="XO Thames"/>
      <w:i w:val="1"/>
      <w:sz w:val="24"/>
    </w:rPr>
  </w:style>
  <w:style w:styleId="Style_35" w:type="paragraph">
    <w:name w:val="Title"/>
    <w:basedOn w:val="Style_4"/>
    <w:next w:val="Style_4"/>
    <w:link w:val="Style_35_ch"/>
    <w:uiPriority w:val="10"/>
    <w:qFormat/>
    <w:pPr>
      <w:spacing w:after="120" w:before="120"/>
      <w:ind/>
    </w:pPr>
    <w:rPr>
      <w:rFonts w:ascii="Cambria" w:hAnsi="Cambria"/>
      <w:caps w:val="1"/>
      <w:color w:val="FFFFFF"/>
      <w:sz w:val="28"/>
    </w:rPr>
  </w:style>
  <w:style w:styleId="Style_35_ch" w:type="character">
    <w:name w:val="Title"/>
    <w:basedOn w:val="Style_4_ch"/>
    <w:link w:val="Style_35"/>
    <w:rPr>
      <w:rFonts w:ascii="Cambria" w:hAnsi="Cambria"/>
      <w:caps w:val="1"/>
      <w:color w:val="FFFFFF"/>
      <w:sz w:val="28"/>
    </w:rPr>
  </w:style>
  <w:style w:styleId="Style_36" w:type="paragraph">
    <w:name w:val="heading 4"/>
    <w:next w:val="Style_4"/>
    <w:link w:val="Style_36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36_ch" w:type="character">
    <w:name w:val="heading 4"/>
    <w:link w:val="Style_36"/>
    <w:rPr>
      <w:rFonts w:ascii="XO Thames" w:hAnsi="XO Thames"/>
      <w:b w:val="1"/>
      <w:sz w:val="24"/>
    </w:rPr>
  </w:style>
  <w:style w:styleId="Style_37" w:type="paragraph">
    <w:name w:val="Default Paragraph Font"/>
    <w:link w:val="Style_37_ch"/>
  </w:style>
  <w:style w:styleId="Style_37_ch" w:type="character">
    <w:name w:val="Default Paragraph Font"/>
    <w:link w:val="Style_37"/>
  </w:style>
  <w:style w:styleId="Style_38" w:type="paragraph">
    <w:name w:val="heading 2"/>
    <w:basedOn w:val="Style_4"/>
    <w:next w:val="Style_4"/>
    <w:link w:val="Style_38_ch"/>
    <w:uiPriority w:val="9"/>
    <w:qFormat/>
    <w:pPr>
      <w:keepNext w:val="1"/>
      <w:spacing w:after="60" w:before="240"/>
      <w:ind/>
      <w:outlineLvl w:val="1"/>
    </w:pPr>
    <w:rPr>
      <w:rFonts w:ascii="Calibri Light" w:hAnsi="Calibri Light"/>
      <w:b w:val="1"/>
      <w:i w:val="1"/>
      <w:sz w:val="28"/>
    </w:rPr>
  </w:style>
  <w:style w:styleId="Style_38_ch" w:type="character">
    <w:name w:val="heading 2"/>
    <w:basedOn w:val="Style_4_ch"/>
    <w:link w:val="Style_38"/>
    <w:rPr>
      <w:rFonts w:ascii="Calibri Light" w:hAnsi="Calibri Light"/>
      <w:b w:val="1"/>
      <w:i w:val="1"/>
      <w:sz w:val="28"/>
    </w:rPr>
  </w:style>
  <w:style w:styleId="Style_39" w:type="paragraph">
    <w:name w:val="Normal (Web)"/>
    <w:basedOn w:val="Style_4"/>
    <w:link w:val="Style_39_ch"/>
    <w:pPr>
      <w:spacing w:afterAutospacing="on" w:beforeAutospacing="on"/>
      <w:ind/>
    </w:pPr>
    <w:rPr>
      <w:rFonts w:ascii="Times New Roman" w:hAnsi="Times New Roman"/>
      <w:color w:val="000000"/>
      <w:sz w:val="24"/>
    </w:rPr>
  </w:style>
  <w:style w:styleId="Style_39_ch" w:type="character">
    <w:name w:val="Normal (Web)"/>
    <w:basedOn w:val="Style_4_ch"/>
    <w:link w:val="Style_39"/>
    <w:rPr>
      <w:rFonts w:ascii="Times New Roman" w:hAnsi="Times New Roman"/>
      <w:color w:val="000000"/>
      <w:sz w:val="24"/>
    </w:rPr>
  </w:style>
  <w:style w:styleId="Style_40" w:type="paragraph">
    <w:name w:val="chars-value__value-max-val"/>
    <w:link w:val="Style_40_ch"/>
  </w:style>
  <w:style w:styleId="Style_40_ch" w:type="character">
    <w:name w:val="chars-value__value-max-val"/>
    <w:link w:val="Style_40"/>
  </w:style>
  <w:style w:styleId="Style_41" w:type="table">
    <w:name w:val="Table Grid"/>
    <w:basedOn w:val="Style_2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2024-01-30T08:06:02Z</dcterms:modified>
</cp:coreProperties>
</file>