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DBT Infrastructure: Compute Execution Decision Brief</w:t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Prepared for Senior Management  |  April 2026  |  Risk Finance &amp; Treasury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0"/>
      </w:tblGrid>
      <w:tr>
        <w:tc>
          <w:tcPr>
            <w:tcW w:type="dxa" w:w="14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CONTEXT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 are evaluating how to run dbt workloads for 6 tenants (~360 jobs/month, 45 min avg). Four options have been assessed on cost, operational effort, and risk. This brief presents the key trade-offs to inform a go-forward decision.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2E5FA3" w:sz="6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COST AT A GLANCE  (6 TENANTS, 360 JOBS/MONTH BASELINE)</w:t>
      </w:r>
    </w:p>
    <w:p>
      <w:pPr>
        <w:spacing w:after="0" w:before="60"/>
      </w:pPr>
      <w: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1900"/>
        <w:gridCol w:w="19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Fargate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Multitenant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Single-tenant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Cosmos dbt + Astronomer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Monthly cost (baseline)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3C"/>
                <w:sz w:val="18"/>
                <w:szCs w:val="18"/>
              </w:rPr>
              <w:t xml:space="preserve">$260 – $325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3C"/>
                <w:sz w:val="18"/>
                <w:szCs w:val="18"/>
              </w:rPr>
              <w:t xml:space="preserve">$95 – $110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$150 – $220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$200 – $400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Monthly cost at 15 tenants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$645 – $810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3C"/>
                <w:sz w:val="18"/>
                <w:szCs w:val="18"/>
              </w:rPr>
              <w:t xml:space="preserve">$145 – $180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$350 – $500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$500 – $900+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 per job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$0.72 – $0.90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~$0.30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~$0.50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$0.55 – $1.10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 behaviour as tenants grow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Increases linearly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Step-wise (shared capacity)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Increases linearly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Step-wise (plan tiers)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Idle cost (no jobs running)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EC2 runs 24×7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 (on-demand)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 (usage-billed)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2E5FA3" w:sz="6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KEY TRADE-OFFS</w:t>
      </w:r>
    </w:p>
    <w:p>
      <w:pPr>
        <w:spacing w:after="0" w:before="60"/>
      </w:pPr>
      <w: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1900"/>
        <w:gridCol w:w="19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Fargate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Multitenant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Single-tenant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Cosmos dbt + Astronomer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Infrastructure management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— team manages EC2, patching, capacity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 — fully vendor-managed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Tenant data isolation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Strong (task-level)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— shared host risk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Strongest — dedicated host per tenant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Strong (vendor-enforced)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Startup speed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30–90 sec (cold start)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10 sec (warm)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10 sec (warm)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~15–30 sec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Scales well beyond 10 tenants?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— but cost rises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unit economics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— but no savings at scale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— but plan costs jump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Vendor / lock-in risk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AWS only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AWS only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AWS only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AWS + Astronomer (dual vendor)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2E5FA3" w:sz="6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WHICH OPTION FITS WHICH SCENARIO?</w:t>
      </w:r>
    </w:p>
    <w:p>
      <w:pPr>
        <w:spacing w:after="0" w:before="60"/>
      </w:pPr>
      <w: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3200"/>
        <w:gridCol w:w="3900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the priority is…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Leading option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Runner-up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Lowest cost today (6 tenants)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3C"/>
                <w:sz w:val="18"/>
                <w:szCs w:val="18"/>
              </w:rPr>
              <w:t xml:space="preserve">ECS/EC2 Multitenant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ECS/EC2 Single-tenant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Shared capacity = lowest $/job at current scale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Lowest cost at scale (15+ tenants)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3C"/>
                <w:sz w:val="18"/>
                <w:szCs w:val="18"/>
              </w:rPr>
              <w:t xml:space="preserve">ECS/EC2 Multitenant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Fargate (predictable)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Step-wise EC2 capacity far cheaper than linear Fargate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Minimal IT / DevOps overhead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3C"/>
                <w:sz w:val="18"/>
                <w:szCs w:val="18"/>
              </w:rPr>
              <w:t xml:space="preserve">Cosmos dbt + Astronomer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Fargate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Fully managed; no infra to maintain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Strongest tenant data isolation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3C"/>
                <w:sz w:val="18"/>
                <w:szCs w:val="18"/>
              </w:rPr>
              <w:t xml:space="preserve">ECS/EC2 Single-tenant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Fargate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Dedicated host eliminates shared-infrastructure risk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Fastest time to production / pilot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3C"/>
                <w:sz w:val="18"/>
                <w:szCs w:val="18"/>
              </w:rPr>
              <w:t xml:space="preserve">Fargate or Cosmos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cluster setup; deploy in hours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2E5FA3" w:sz="6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BOTTOM LINE</w:t>
      </w:r>
    </w:p>
    <w:p>
      <w:pPr>
        <w:spacing w:after="0" w:before="80"/>
      </w:pPr>
      <w: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0"/>
      </w:tblGrid>
      <w:tr>
        <w:tc>
          <w:tcPr>
            <w:tcW w:type="dxa" w:w="14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single option is best on every dimension. The decision hinges on three questions: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important is cost efficiency at scale?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 ECS/EC2 Multitenant wins clearly above 9 tenants.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much infra management capacity does the team have?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 Low capacity favours Fargate or Cosmos.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Are there regulatory requirements for dedicated tenant infrastructure?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 Single-tenant EC2 is the safest choice.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 hybrid approach is also viable: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standard tenants on ECS/EC2 Multitenant (cost-efficient), high-compliance tenants on Single-tenant EC2, and use Fargate or Cosmos for burst or onboarding scenarios.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/>
      </w:pBdr>
      <w:spacing w:before="6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For internal management review only. Costs are estimates based on POC assumptions and subject to change.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  <w:spacing w:after="80"/>
    </w:pPr>
    <w:r>
      <w:rPr>
        <w:rFonts w:ascii="Arial" w:cs="Arial" w:eastAsia="Arial" w:hAnsi="Arial"/>
        <w:b/>
        <w:bCs/>
        <w:color w:val="2E5FA3"/>
        <w:sz w:val="17"/>
        <w:szCs w:val="17"/>
      </w:rPr>
      <w:t xml:space="preserve">CONFIDENTIAL  |  DBT Infrastructure Decision Brief  |  Risk Finance &amp; Treasury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2026-04-01T18:32:54.389Z</dcterms:created>
  <dcterms:modified xsi:type="dcterms:W3CDTF">2026-04-01T18:32:54.390Z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