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1AE789D2" w14:textId="77777777" w:rsidR="0030753C" w:rsidRDefault="0030753C" w:rsidP="0030753C">
      <w:pPr>
        <w:pStyle w:val="NormalWeb"/>
        <w:shd w:val="clear" w:color="auto" w:fill="FFFFFF"/>
        <w:spacing w:before="0" w:beforeAutospacing="0" w:after="0" w:afterAutospacing="0"/>
        <w:rPr>
          <w:rFonts w:ascii="Lato" w:hAnsi="Lato"/>
          <w:color w:val="2D3B45"/>
        </w:rPr>
      </w:pPr>
    </w:p>
    <w:p w14:paraId="5258E06A" w14:textId="77777777" w:rsidR="0030753C" w:rsidRDefault="0030753C" w:rsidP="0030753C">
      <w:pPr>
        <w:pStyle w:val="NormalWeb"/>
        <w:shd w:val="clear" w:color="auto" w:fill="FFFFFF"/>
        <w:spacing w:before="0" w:beforeAutospacing="0" w:after="0" w:afterAutospacing="0"/>
        <w:rPr>
          <w:rFonts w:ascii="Lato" w:hAnsi="Lato"/>
          <w:color w:val="2D3B45"/>
        </w:rPr>
      </w:pPr>
    </w:p>
    <w:p w14:paraId="1DBFB253" w14:textId="77777777" w:rsidR="0030753C" w:rsidRDefault="0030753C" w:rsidP="0030753C">
      <w:pPr>
        <w:pStyle w:val="NormalWeb"/>
        <w:shd w:val="clear" w:color="auto" w:fill="FFFFFF"/>
        <w:spacing w:before="0" w:beforeAutospacing="0" w:after="0" w:afterAutospacing="0"/>
        <w:rPr>
          <w:rFonts w:ascii="Lato" w:hAnsi="Lato"/>
          <w:color w:val="2D3B45"/>
        </w:rPr>
      </w:pPr>
    </w:p>
    <w:p w14:paraId="61CC63F9" w14:textId="77777777" w:rsidR="0030753C" w:rsidRDefault="0030753C" w:rsidP="0030753C">
      <w:pPr>
        <w:pStyle w:val="NormalWeb"/>
        <w:shd w:val="clear" w:color="auto" w:fill="FFFFFF"/>
        <w:spacing w:before="0" w:beforeAutospacing="0" w:after="0" w:afterAutospacing="0"/>
        <w:rPr>
          <w:rFonts w:ascii="Lato" w:hAnsi="Lato"/>
          <w:color w:val="2D3B45"/>
        </w:rPr>
      </w:pPr>
    </w:p>
    <w:p w14:paraId="7CA4F52E" w14:textId="77777777" w:rsidR="0030753C" w:rsidRDefault="0030753C" w:rsidP="0030753C">
      <w:pPr>
        <w:pStyle w:val="NormalWeb"/>
        <w:shd w:val="clear" w:color="auto" w:fill="FFFFFF"/>
        <w:spacing w:before="0" w:beforeAutospacing="0" w:after="0" w:afterAutospacing="0"/>
        <w:rPr>
          <w:rFonts w:ascii="Lato" w:hAnsi="Lato"/>
          <w:color w:val="2D3B45"/>
        </w:rPr>
      </w:pPr>
    </w:p>
    <w:p w14:paraId="559E9FA7" w14:textId="77777777" w:rsidR="0030753C" w:rsidRDefault="0030753C" w:rsidP="0030753C">
      <w:pPr>
        <w:pStyle w:val="NormalWeb"/>
        <w:shd w:val="clear" w:color="auto" w:fill="FFFFFF"/>
        <w:spacing w:before="0" w:beforeAutospacing="0" w:after="0" w:afterAutospacing="0" w:line="480" w:lineRule="auto"/>
        <w:rPr>
          <w:rFonts w:ascii="Lato" w:hAnsi="Lato"/>
          <w:color w:val="2D3B45"/>
        </w:rPr>
      </w:pPr>
    </w:p>
    <w:p w14:paraId="0D5E2069" w14:textId="77777777" w:rsidR="0030753C" w:rsidRDefault="0030753C" w:rsidP="0030753C">
      <w:pPr>
        <w:pStyle w:val="NormalWeb"/>
        <w:shd w:val="clear" w:color="auto" w:fill="FFFFFF"/>
        <w:spacing w:before="0" w:beforeAutospacing="0" w:after="0" w:afterAutospacing="0" w:line="480" w:lineRule="auto"/>
        <w:rPr>
          <w:rFonts w:ascii="Lato" w:hAnsi="Lato"/>
          <w:color w:val="2D3B45"/>
        </w:rPr>
      </w:pPr>
    </w:p>
    <w:p w14:paraId="560301E2" w14:textId="4299AF88" w:rsidR="0030753C" w:rsidRPr="0030753C" w:rsidRDefault="0030753C" w:rsidP="0030753C">
      <w:pPr>
        <w:pStyle w:val="NormalWeb"/>
        <w:shd w:val="clear" w:color="auto" w:fill="FFFFFF"/>
        <w:spacing w:before="0" w:beforeAutospacing="0" w:after="0" w:afterAutospacing="0" w:line="480" w:lineRule="auto"/>
        <w:rPr>
          <w:rFonts w:asciiTheme="minorHAnsi" w:hAnsiTheme="minorHAnsi" w:cstheme="minorHAnsi"/>
          <w:color w:val="2D3B45"/>
        </w:rPr>
      </w:pPr>
      <w:r w:rsidRPr="0030753C">
        <w:rPr>
          <w:rFonts w:asciiTheme="minorHAnsi" w:hAnsiTheme="minorHAnsi" w:cstheme="minorHAnsi"/>
          <w:color w:val="2D3B45"/>
        </w:rPr>
        <w:t>Parrott, Sharon, et al. “Tracking the COVID-19 Economy's Effects on Food, Housing, and Employment Hardships.” </w:t>
      </w:r>
      <w:r w:rsidRPr="0030753C">
        <w:rPr>
          <w:rFonts w:asciiTheme="minorHAnsi" w:hAnsiTheme="minorHAnsi" w:cstheme="minorHAnsi"/>
          <w:i/>
          <w:iCs/>
          <w:color w:val="2D3B45"/>
        </w:rPr>
        <w:t>Center on Budget and Policy Priorities</w:t>
      </w:r>
      <w:r w:rsidRPr="0030753C">
        <w:rPr>
          <w:rFonts w:asciiTheme="minorHAnsi" w:hAnsiTheme="minorHAnsi" w:cstheme="minorHAnsi"/>
          <w:color w:val="2D3B45"/>
        </w:rPr>
        <w:t>, Center on Budget and Policy Priorities, 10 Nov. 2021, </w:t>
      </w:r>
      <w:hyperlink r:id="rId4" w:history="1">
        <w:r w:rsidRPr="00566B78">
          <w:rPr>
            <w:rStyle w:val="Hyperlink"/>
            <w:rFonts w:asciiTheme="minorHAnsi" w:hAnsiTheme="minorHAnsi" w:cstheme="minorHAnsi"/>
          </w:rPr>
          <w:t>https://www.cbpp.org/research/poverty-and-inequality/tracking-the-covid-19-economys-effects-on-food-housing-and#:~:text=The%20majority%20of%20jobs%20lost,of%20Labor%20Department%20employment%20data</w:t>
        </w:r>
      </w:hyperlink>
      <w:r>
        <w:rPr>
          <w:rFonts w:asciiTheme="minorHAnsi" w:hAnsiTheme="minorHAnsi" w:cstheme="minorHAnsi"/>
          <w:color w:val="2D3B45"/>
        </w:rPr>
        <w:t xml:space="preserve"> </w:t>
      </w:r>
      <w:r w:rsidRPr="0030753C">
        <w:rPr>
          <w:rFonts w:asciiTheme="minorHAnsi" w:hAnsiTheme="minorHAnsi" w:cstheme="minorHAnsi"/>
          <w:color w:val="2D3B45"/>
        </w:rPr>
        <w:t>. Accessed 28 Jan. 2022.</w:t>
      </w:r>
    </w:p>
    <w:p w14:paraId="4C6C3203" w14:textId="77777777" w:rsidR="0030753C" w:rsidRDefault="0030753C" w:rsidP="0030753C">
      <w:pPr>
        <w:pStyle w:val="NormalWeb"/>
        <w:shd w:val="clear" w:color="auto" w:fill="FFFFFF"/>
        <w:spacing w:before="180" w:beforeAutospacing="0" w:after="0" w:afterAutospacing="0" w:line="480" w:lineRule="auto"/>
        <w:rPr>
          <w:rFonts w:ascii="Lato" w:hAnsi="Lato"/>
          <w:color w:val="2D3B45"/>
        </w:rPr>
      </w:pPr>
      <w:r w:rsidRPr="0030753C">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w:t>
      </w:r>
      <w:r w:rsidRPr="0030753C">
        <w:rPr>
          <w:rFonts w:asciiTheme="minorHAnsi" w:hAnsiTheme="minorHAnsi" w:cstheme="minorHAnsi"/>
          <w:color w:val="2D3B45"/>
        </w:rPr>
        <w:lastRenderedPageBreak/>
        <w:t>package" and the "American Rescue Plan" was a financial boost of $46 billion designed to help those who were struggling with rent and avoid eviction. However, the lack of proper infrastructure to get these funds to renters in need created a sense of urgency. "The Supreme Court’s ruling ending the Centers for Disease Control and Prevention’s eviction moratorium places people behind on rent who have not received the much-needed aid at immediate risk of losing their homes." (See above Figure 6) The eviction moratorium allows renters more time to receive the rent relief before being evicted.</w:t>
      </w:r>
    </w:p>
    <w:p w14:paraId="0867F47F" w14:textId="77777777" w:rsidR="00595B47" w:rsidRPr="00595B47" w:rsidRDefault="00595B47" w:rsidP="0030753C">
      <w:pPr>
        <w:spacing w:line="480" w:lineRule="auto"/>
        <w:rPr>
          <w:sz w:val="40"/>
          <w:szCs w:val="40"/>
        </w:rPr>
      </w:pPr>
    </w:p>
    <w:sectPr w:rsidR="00595B47" w:rsidRPr="0059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30753C"/>
    <w:rsid w:val="00595B47"/>
    <w:rsid w:val="006A6030"/>
    <w:rsid w:val="007A04F9"/>
    <w:rsid w:val="007F67B8"/>
    <w:rsid w:val="00F5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bpp.org/research/poverty-and-inequality/tracking-the-covid-19-economys-effects-on-food-housing-and#:~:text=The%20majority%20of%20jobs%20lost,of%20Labor%20Department%20employment%20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1</cp:revision>
  <dcterms:created xsi:type="dcterms:W3CDTF">2022-02-10T23:29:00Z</dcterms:created>
  <dcterms:modified xsi:type="dcterms:W3CDTF">2022-02-11T00:10:00Z</dcterms:modified>
</cp:coreProperties>
</file>