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htable1"/>
        <w:tblW w:w="0" w:type="auto"/>
        <w:tblLook w:val="04A0" w:firstRow="1" w:lastRow="0" w:firstColumn="1" w:lastColumn="0" w:noHBand="0" w:noVBand="1"/>
      </w:tblPr>
      <w:tblGrid>
        <w:gridCol w:w="2261"/>
        <w:gridCol w:w="2549"/>
        <w:gridCol w:w="2310"/>
        <w:gridCol w:w="2230"/>
      </w:tblGrid>
      <w:tr w:rsidR="00D3610A" w:rsidRPr="00D3610A" w14:paraId="20949A83" w14:textId="77777777" w:rsidTr="005954DB">
        <w:trPr>
          <w:trHeight w:val="275"/>
        </w:trPr>
        <w:tc>
          <w:tcPr>
            <w:tcW w:w="13643" w:type="dxa"/>
            <w:gridSpan w:val="4"/>
            <w:shd w:val="clear" w:color="auto" w:fill="0F4761" w:themeFill="accent1" w:themeFillShade="BF"/>
          </w:tcPr>
          <w:p w14:paraId="0DD7884D" w14:textId="77777777" w:rsidR="00D3610A" w:rsidRPr="005954DB" w:rsidRDefault="00D3610A" w:rsidP="00D3610A">
            <w:pPr>
              <w:spacing w:line="276" w:lineRule="auto"/>
              <w:jc w:val="center"/>
              <w:rPr>
                <w:rFonts w:eastAsia="Arial" w:cs="Times New Roman"/>
                <w:b/>
                <w:color w:val="FFFFFF"/>
                <w:sz w:val="22"/>
                <w:szCs w:val="22"/>
              </w:rPr>
            </w:pPr>
            <w:r w:rsidRPr="00D3610A">
              <w:rPr>
                <w:rFonts w:eastAsia="Arial" w:cs="Times New Roman"/>
                <w:b/>
                <w:color w:val="FFFFFF"/>
                <w:sz w:val="22"/>
                <w:szCs w:val="22"/>
              </w:rPr>
              <w:t>Manipulation and Social Engineering Framework (MANSEF)</w:t>
            </w:r>
          </w:p>
        </w:tc>
      </w:tr>
      <w:tr w:rsidR="00D3610A" w:rsidRPr="00D3610A" w14:paraId="7B9AB5F6" w14:textId="77777777" w:rsidTr="005954DB">
        <w:trPr>
          <w:trHeight w:val="249"/>
        </w:trPr>
        <w:tc>
          <w:tcPr>
            <w:tcW w:w="3411" w:type="dxa"/>
            <w:shd w:val="clear" w:color="auto" w:fill="60CAF3" w:themeFill="accent4" w:themeFillTint="99"/>
          </w:tcPr>
          <w:p w14:paraId="7FF85154" w14:textId="77777777" w:rsidR="00D3610A" w:rsidRPr="005954DB" w:rsidRDefault="00D3610A" w:rsidP="00D3610A">
            <w:pPr>
              <w:spacing w:line="276" w:lineRule="auto"/>
              <w:jc w:val="center"/>
              <w:rPr>
                <w:rFonts w:eastAsia="Arial" w:cs="Times New Roman"/>
                <w:b/>
                <w:color w:val="FFFFFF"/>
                <w:sz w:val="22"/>
                <w:szCs w:val="22"/>
              </w:rPr>
            </w:pPr>
            <w:r w:rsidRPr="005954DB">
              <w:rPr>
                <w:rFonts w:eastAsia="Arial" w:cs="Times New Roman"/>
                <w:b/>
                <w:color w:val="FFFFFF"/>
                <w:sz w:val="22"/>
                <w:szCs w:val="22"/>
              </w:rPr>
              <w:t>Coercion</w:t>
            </w:r>
          </w:p>
        </w:tc>
        <w:tc>
          <w:tcPr>
            <w:tcW w:w="3411" w:type="dxa"/>
            <w:shd w:val="clear" w:color="auto" w:fill="60CAF3" w:themeFill="accent4" w:themeFillTint="99"/>
          </w:tcPr>
          <w:p w14:paraId="7454F721" w14:textId="77777777" w:rsidR="00D3610A" w:rsidRPr="005954DB" w:rsidRDefault="00D3610A" w:rsidP="00D3610A">
            <w:pPr>
              <w:spacing w:line="276" w:lineRule="auto"/>
              <w:jc w:val="center"/>
              <w:rPr>
                <w:rFonts w:eastAsia="Arial" w:cs="Times New Roman"/>
                <w:b/>
                <w:color w:val="FFFFFF"/>
                <w:sz w:val="22"/>
                <w:szCs w:val="22"/>
              </w:rPr>
            </w:pPr>
            <w:r w:rsidRPr="005954DB">
              <w:rPr>
                <w:rFonts w:eastAsia="Arial" w:cs="Times New Roman"/>
                <w:b/>
                <w:color w:val="FFFFFF"/>
                <w:sz w:val="22"/>
                <w:szCs w:val="22"/>
              </w:rPr>
              <w:t>Impersonation</w:t>
            </w:r>
          </w:p>
        </w:tc>
        <w:tc>
          <w:tcPr>
            <w:tcW w:w="3410" w:type="dxa"/>
            <w:shd w:val="clear" w:color="auto" w:fill="60CAF3" w:themeFill="accent4" w:themeFillTint="99"/>
          </w:tcPr>
          <w:p w14:paraId="7A999150" w14:textId="77777777" w:rsidR="00D3610A" w:rsidRPr="005954DB" w:rsidRDefault="00D3610A" w:rsidP="00D3610A">
            <w:pPr>
              <w:spacing w:line="276" w:lineRule="auto"/>
              <w:jc w:val="center"/>
              <w:rPr>
                <w:rFonts w:eastAsia="Arial" w:cs="Times New Roman"/>
                <w:b/>
                <w:color w:val="FFFFFF"/>
                <w:sz w:val="22"/>
                <w:szCs w:val="22"/>
              </w:rPr>
            </w:pPr>
            <w:r w:rsidRPr="005954DB">
              <w:rPr>
                <w:rFonts w:eastAsia="Arial" w:cs="Times New Roman"/>
                <w:b/>
                <w:color w:val="FFFFFF"/>
                <w:sz w:val="22"/>
                <w:szCs w:val="22"/>
              </w:rPr>
              <w:t>Discovery</w:t>
            </w:r>
          </w:p>
        </w:tc>
        <w:tc>
          <w:tcPr>
            <w:tcW w:w="3411" w:type="dxa"/>
            <w:shd w:val="clear" w:color="auto" w:fill="60CAF3" w:themeFill="accent4" w:themeFillTint="99"/>
          </w:tcPr>
          <w:p w14:paraId="7068B2A7" w14:textId="77777777" w:rsidR="00D3610A" w:rsidRPr="005954DB" w:rsidRDefault="00D3610A" w:rsidP="00D3610A">
            <w:pPr>
              <w:spacing w:line="276" w:lineRule="auto"/>
              <w:jc w:val="center"/>
              <w:rPr>
                <w:rFonts w:eastAsia="Arial" w:cs="Times New Roman"/>
                <w:b/>
                <w:color w:val="FFFFFF"/>
                <w:sz w:val="22"/>
                <w:szCs w:val="22"/>
              </w:rPr>
            </w:pPr>
            <w:r w:rsidRPr="005954DB">
              <w:rPr>
                <w:rFonts w:eastAsia="Arial" w:cs="Times New Roman"/>
                <w:b/>
                <w:color w:val="FFFFFF"/>
                <w:sz w:val="22"/>
                <w:szCs w:val="22"/>
              </w:rPr>
              <w:t>Elicit Action</w:t>
            </w:r>
          </w:p>
        </w:tc>
      </w:tr>
      <w:tr w:rsidR="00D3610A" w:rsidRPr="00D3610A" w14:paraId="6F64CE8D" w14:textId="77777777" w:rsidTr="00EE0E2A">
        <w:trPr>
          <w:trHeight w:val="2642"/>
        </w:trPr>
        <w:tc>
          <w:tcPr>
            <w:tcW w:w="3411" w:type="dxa"/>
          </w:tcPr>
          <w:p w14:paraId="7943A3F6" w14:textId="530B8A46"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Use of authority (C-1)</w:t>
            </w:r>
            <w:r w:rsidRPr="00D3610A">
              <w:rPr>
                <w:rFonts w:eastAsia="Arial" w:cs="Times New Roman"/>
                <w:sz w:val="14"/>
                <w:szCs w:val="14"/>
              </w:rPr>
              <w:t xml:space="preserve"> | Threat actors may choose to impersonate an individual with an actual or perceived amount of authority over the victim or the ability to make special requests on behalf of someone that does. This can increase the likelihood of a victim complying with unauthorized requests due to the fear or consequences for disobeying a direct request from a superior.</w:t>
            </w:r>
          </w:p>
        </w:tc>
        <w:tc>
          <w:tcPr>
            <w:tcW w:w="3411" w:type="dxa"/>
          </w:tcPr>
          <w:p w14:paraId="32F60F7A"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Spoof phone number (I-1)</w:t>
            </w:r>
            <w:r w:rsidRPr="00D3610A">
              <w:rPr>
                <w:rFonts w:eastAsia="Arial" w:cs="Times New Roman"/>
                <w:sz w:val="14"/>
                <w:szCs w:val="14"/>
              </w:rPr>
              <w:t xml:space="preserve"> </w:t>
            </w:r>
            <w:r w:rsidRPr="00D3610A">
              <w:rPr>
                <w:rFonts w:eastAsia="Arial" w:cs="Times New Roman"/>
                <w:b/>
                <w:bCs/>
                <w:sz w:val="14"/>
                <w:szCs w:val="14"/>
              </w:rPr>
              <w:t>|</w:t>
            </w:r>
            <w:r w:rsidRPr="00D3610A">
              <w:rPr>
                <w:rFonts w:eastAsia="Arial" w:cs="Times New Roman"/>
                <w:sz w:val="14"/>
                <w:szCs w:val="14"/>
              </w:rPr>
              <w:t xml:space="preserve"> Threat actors can utilize open-source software to make it appear as if they are calling from whoever's phone number they desire, bolstering the idea that they are the impersonated target.</w:t>
            </w:r>
          </w:p>
        </w:tc>
        <w:tc>
          <w:tcPr>
            <w:tcW w:w="3410" w:type="dxa"/>
          </w:tcPr>
          <w:p w14:paraId="24BC7F95"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Gather system information (D-1) |</w:t>
            </w:r>
            <w:r w:rsidRPr="00D3610A">
              <w:rPr>
                <w:rFonts w:eastAsia="Arial" w:cs="Times New Roman"/>
                <w:sz w:val="14"/>
                <w:szCs w:val="14"/>
              </w:rPr>
              <w:t xml:space="preserve"> Threat actors may attempt to obtain information on the victim's systems or network that can be used in subsequent attacks. This information could include, for example, installed security technology, patch versions for applications, IP ranges, network topology, and trust dependencies.​</w:t>
            </w:r>
          </w:p>
        </w:tc>
        <w:tc>
          <w:tcPr>
            <w:tcW w:w="3411" w:type="dxa"/>
          </w:tcPr>
          <w:p w14:paraId="6E773CCF" w14:textId="38FF34A1"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Malicious SMS / Email (EA-1) |</w:t>
            </w:r>
            <w:r w:rsidRPr="00D3610A">
              <w:rPr>
                <w:rFonts w:eastAsia="Arial" w:cs="Times New Roman"/>
                <w:sz w:val="14"/>
                <w:szCs w:val="14"/>
              </w:rPr>
              <w:t xml:space="preserve"> Threat actors may pair a vishing call with an email or SMS message containing a malicious payload. They can then </w:t>
            </w:r>
            <w:proofErr w:type="gramStart"/>
            <w:r w:rsidRPr="00D3610A">
              <w:rPr>
                <w:rFonts w:eastAsia="Arial" w:cs="Times New Roman"/>
                <w:sz w:val="14"/>
                <w:szCs w:val="14"/>
              </w:rPr>
              <w:t>talk</w:t>
            </w:r>
            <w:proofErr w:type="gramEnd"/>
            <w:r w:rsidRPr="00D3610A">
              <w:rPr>
                <w:rFonts w:eastAsia="Arial" w:cs="Times New Roman"/>
                <w:sz w:val="14"/>
                <w:szCs w:val="14"/>
              </w:rPr>
              <w:t xml:space="preserve"> the victim through the process of opening or downloading any malicious attachments, hence compromising the victim's device.</w:t>
            </w:r>
          </w:p>
        </w:tc>
      </w:tr>
      <w:tr w:rsidR="00D3610A" w:rsidRPr="00D3610A" w14:paraId="4D3AAE7D" w14:textId="77777777" w:rsidTr="00D3610A">
        <w:trPr>
          <w:trHeight w:val="1799"/>
        </w:trPr>
        <w:tc>
          <w:tcPr>
            <w:tcW w:w="3411" w:type="dxa"/>
          </w:tcPr>
          <w:p w14:paraId="0954F315" w14:textId="2E93E214"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Plea for help (C-2)</w:t>
            </w:r>
            <w:r w:rsidRPr="00D3610A">
              <w:rPr>
                <w:rFonts w:eastAsia="Arial" w:cs="Times New Roman"/>
                <w:sz w:val="14"/>
                <w:szCs w:val="14"/>
              </w:rPr>
              <w:t xml:space="preserve"> | Threat actors may exploit the victim’s kindness by making requests in a tone that elicits the desire to help or by showing a great deal of gratitude. This acts as a reward system for the victim when performing unauthorized actions on behalf of the threat actor who is perceived as someone in distress.</w:t>
            </w:r>
          </w:p>
        </w:tc>
        <w:tc>
          <w:tcPr>
            <w:tcW w:w="3411" w:type="dxa"/>
          </w:tcPr>
          <w:p w14:paraId="1AFE29D9"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Voice-changer used (I-2) |</w:t>
            </w:r>
            <w:r w:rsidRPr="00D3610A">
              <w:rPr>
                <w:rFonts w:eastAsia="Arial" w:cs="Times New Roman"/>
                <w:sz w:val="14"/>
                <w:szCs w:val="14"/>
              </w:rPr>
              <w:t xml:space="preserve"> Threat actors can use tools to alter their voice, usually to sound a different age or gender, when speaking over the phone to bolster the idea that they are the impersonated target.</w:t>
            </w:r>
          </w:p>
        </w:tc>
        <w:tc>
          <w:tcPr>
            <w:tcW w:w="3410" w:type="dxa"/>
          </w:tcPr>
          <w:p w14:paraId="23982CAC" w14:textId="699BF75E"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Gather credentials (D-2) |</w:t>
            </w:r>
            <w:r w:rsidRPr="00D3610A">
              <w:rPr>
                <w:rFonts w:eastAsia="Arial" w:cs="Times New Roman"/>
                <w:sz w:val="14"/>
                <w:szCs w:val="14"/>
              </w:rPr>
              <w:t xml:space="preserve"> Threat actors may attempt to have the victim divulge their own, or even another individual’s, credentials to gain initial access to a network or application.</w:t>
            </w:r>
          </w:p>
        </w:tc>
        <w:tc>
          <w:tcPr>
            <w:tcW w:w="3411" w:type="dxa"/>
          </w:tcPr>
          <w:p w14:paraId="1FF676DD"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Edit account configuration (EA-2) |</w:t>
            </w:r>
            <w:r w:rsidRPr="00D3610A">
              <w:rPr>
                <w:rFonts w:eastAsia="Arial" w:cs="Times New Roman"/>
                <w:sz w:val="14"/>
                <w:szCs w:val="14"/>
              </w:rPr>
              <w:t xml:space="preserve"> Threat actors may attempt to have the victim, such as an IT help desk, make changes to a user's account. These changes often reduce the overall security of the account, such as disabling MFA or increasing the number of failed </w:t>
            </w:r>
            <w:proofErr w:type="gramStart"/>
            <w:r w:rsidRPr="00D3610A">
              <w:rPr>
                <w:rFonts w:eastAsia="Arial" w:cs="Times New Roman"/>
                <w:sz w:val="14"/>
                <w:szCs w:val="14"/>
              </w:rPr>
              <w:t>login</w:t>
            </w:r>
            <w:proofErr w:type="gramEnd"/>
            <w:r w:rsidRPr="00D3610A">
              <w:rPr>
                <w:rFonts w:eastAsia="Arial" w:cs="Times New Roman"/>
                <w:sz w:val="14"/>
                <w:szCs w:val="14"/>
              </w:rPr>
              <w:t xml:space="preserve"> attempts before account lockout.</w:t>
            </w:r>
          </w:p>
        </w:tc>
      </w:tr>
      <w:tr w:rsidR="00D3610A" w:rsidRPr="00D3610A" w14:paraId="20864F12" w14:textId="77777777" w:rsidTr="00D3610A">
        <w:trPr>
          <w:trHeight w:val="1394"/>
        </w:trPr>
        <w:tc>
          <w:tcPr>
            <w:tcW w:w="3411" w:type="dxa"/>
          </w:tcPr>
          <w:p w14:paraId="5F44BFB5"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Use of urgency (C-3) |</w:t>
            </w:r>
            <w:r w:rsidRPr="00D3610A">
              <w:rPr>
                <w:rFonts w:eastAsia="Arial" w:cs="Times New Roman"/>
                <w:sz w:val="14"/>
                <w:szCs w:val="14"/>
              </w:rPr>
              <w:t xml:space="preserve"> Threat actors craft scenarios that involve time sensitive requests of the victim. The drive to meet deadlines or assist someone in need of urgency can make the victim more willing to forego security processes in lieu of fulfilling requests in a timely manner.</w:t>
            </w:r>
          </w:p>
        </w:tc>
        <w:tc>
          <w:tcPr>
            <w:tcW w:w="3411" w:type="dxa"/>
          </w:tcPr>
          <w:p w14:paraId="6B7B7BD6"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Background noise (I-3) |</w:t>
            </w:r>
            <w:r w:rsidRPr="00D3610A">
              <w:rPr>
                <w:rFonts w:eastAsia="Arial" w:cs="Times New Roman"/>
                <w:sz w:val="14"/>
                <w:szCs w:val="14"/>
              </w:rPr>
              <w:t xml:space="preserve"> Threat actors may use software to add background noises during calls to make it seem as though they were calling from a specific location.</w:t>
            </w:r>
          </w:p>
        </w:tc>
        <w:tc>
          <w:tcPr>
            <w:tcW w:w="3410" w:type="dxa"/>
          </w:tcPr>
          <w:p w14:paraId="7B4AAEF5"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Gather configuration info (D-3) |</w:t>
            </w:r>
            <w:r w:rsidRPr="00D3610A">
              <w:rPr>
                <w:rFonts w:eastAsia="Arial" w:cs="Times New Roman"/>
                <w:sz w:val="14"/>
                <w:szCs w:val="14"/>
              </w:rPr>
              <w:t xml:space="preserve"> Threat actors may attempt to obtain information on the victim's device configurations that can be used in subsequent attacks. The information could be OS version, AV / EDR vendor and version, hardware specifics, etc.</w:t>
            </w:r>
          </w:p>
        </w:tc>
        <w:tc>
          <w:tcPr>
            <w:tcW w:w="3411" w:type="dxa"/>
          </w:tcPr>
          <w:p w14:paraId="7B26F4B2" w14:textId="77777777" w:rsidR="00D3610A" w:rsidRPr="00D3610A" w:rsidRDefault="00D3610A" w:rsidP="00D3610A">
            <w:pPr>
              <w:tabs>
                <w:tab w:val="left" w:pos="413"/>
              </w:tabs>
              <w:spacing w:after="120" w:line="276" w:lineRule="auto"/>
              <w:jc w:val="both"/>
              <w:rPr>
                <w:rFonts w:eastAsia="Arial" w:cs="Times New Roman"/>
                <w:sz w:val="14"/>
                <w:szCs w:val="14"/>
              </w:rPr>
            </w:pPr>
            <w:r w:rsidRPr="00D3610A">
              <w:rPr>
                <w:rFonts w:eastAsia="Arial" w:cs="Times New Roman"/>
                <w:b/>
                <w:bCs/>
                <w:sz w:val="14"/>
                <w:szCs w:val="14"/>
              </w:rPr>
              <w:t>Reset credentials (EA-3)</w:t>
            </w:r>
            <w:r w:rsidRPr="00D3610A">
              <w:rPr>
                <w:rFonts w:eastAsia="Arial" w:cs="Times New Roman"/>
                <w:sz w:val="14"/>
                <w:szCs w:val="14"/>
              </w:rPr>
              <w:t xml:space="preserve"> | Threat actors may attempt to have the victim, such as an IT helpdesk, change the login credentials of an account or hand over the ability to do so. This often takes the form of the victim sending a reset password or MFA setup link to the threat actor.</w:t>
            </w:r>
          </w:p>
        </w:tc>
      </w:tr>
      <w:tr w:rsidR="00D3610A" w:rsidRPr="00D3610A" w14:paraId="2F066C25" w14:textId="77777777" w:rsidTr="00D3610A">
        <w:trPr>
          <w:trHeight w:val="854"/>
        </w:trPr>
        <w:tc>
          <w:tcPr>
            <w:tcW w:w="3411" w:type="dxa"/>
          </w:tcPr>
          <w:p w14:paraId="5B94297F" w14:textId="77777777" w:rsidR="00D3610A" w:rsidRPr="00D3610A" w:rsidRDefault="00D3610A" w:rsidP="00D3610A">
            <w:pPr>
              <w:spacing w:after="120" w:line="276" w:lineRule="auto"/>
              <w:jc w:val="both"/>
              <w:rPr>
                <w:rFonts w:eastAsia="Arial" w:cs="Times New Roman"/>
                <w:b/>
                <w:bCs/>
                <w:sz w:val="14"/>
                <w:szCs w:val="14"/>
              </w:rPr>
            </w:pPr>
            <w:r w:rsidRPr="00D3610A">
              <w:rPr>
                <w:rFonts w:eastAsia="Arial" w:cs="Times New Roman"/>
                <w:b/>
                <w:bCs/>
                <w:sz w:val="14"/>
                <w:szCs w:val="14"/>
              </w:rPr>
              <w:t xml:space="preserve">Trusted relationship (C-4) | </w:t>
            </w:r>
            <w:r w:rsidRPr="00D3610A">
              <w:rPr>
                <w:rFonts w:eastAsia="Arial" w:cs="Times New Roman"/>
                <w:sz w:val="14"/>
                <w:szCs w:val="14"/>
              </w:rPr>
              <w:t>Threat actors may reference a known associate of the victim as a trusted third party that can vouch for any requests made. The third party referenced will often be someone with authority to imply consequences if their requests aren't fulfilled.</w:t>
            </w:r>
          </w:p>
        </w:tc>
        <w:tc>
          <w:tcPr>
            <w:tcW w:w="3411" w:type="dxa"/>
          </w:tcPr>
          <w:p w14:paraId="5E08E3AC"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Revelation of 'insider' knowledge (I-4) |</w:t>
            </w:r>
            <w:r w:rsidRPr="00D3610A">
              <w:rPr>
                <w:rFonts w:eastAsia="Arial" w:cs="Times New Roman"/>
                <w:sz w:val="14"/>
                <w:szCs w:val="14"/>
              </w:rPr>
              <w:t xml:space="preserve"> Threat actors can relay seemingly non-public or exclusive information to establish a sense of belonging with an organization. This can be seen as threat actors using company lingo or acronyms.</w:t>
            </w:r>
          </w:p>
        </w:tc>
        <w:tc>
          <w:tcPr>
            <w:tcW w:w="3410" w:type="dxa"/>
          </w:tcPr>
          <w:p w14:paraId="161324F7"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Gather organizational info (D-4) |</w:t>
            </w:r>
            <w:r w:rsidRPr="00D3610A">
              <w:rPr>
                <w:rFonts w:eastAsia="Arial" w:cs="Times New Roman"/>
                <w:sz w:val="14"/>
                <w:szCs w:val="14"/>
              </w:rPr>
              <w:t xml:space="preserve"> Threat actors may attempt to obtain information on the victim's organization that can be used in subsequent attacks. The information could be emailing format, employee list, proprietary information, etc.</w:t>
            </w:r>
          </w:p>
        </w:tc>
        <w:tc>
          <w:tcPr>
            <w:tcW w:w="3411" w:type="dxa"/>
          </w:tcPr>
          <w:p w14:paraId="777DC549"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Provision access (EA-4) |</w:t>
            </w:r>
            <w:r w:rsidRPr="00D3610A">
              <w:rPr>
                <w:rFonts w:eastAsia="Arial" w:cs="Times New Roman"/>
                <w:sz w:val="14"/>
                <w:szCs w:val="14"/>
              </w:rPr>
              <w:t xml:space="preserve"> Threat actors may attempt to have a victim with control over permissions provision unauthorized access to an account under the control of the attacker.</w:t>
            </w:r>
          </w:p>
        </w:tc>
      </w:tr>
      <w:tr w:rsidR="00D3610A" w:rsidRPr="00D3610A" w14:paraId="65F97B96" w14:textId="77777777" w:rsidTr="00D3610A">
        <w:trPr>
          <w:trHeight w:val="1574"/>
        </w:trPr>
        <w:tc>
          <w:tcPr>
            <w:tcW w:w="3411" w:type="dxa"/>
          </w:tcPr>
          <w:p w14:paraId="246F8D34"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Disgruntled employee (C-5) |</w:t>
            </w:r>
            <w:r w:rsidRPr="00D3610A">
              <w:rPr>
                <w:rFonts w:eastAsia="Arial" w:cs="Times New Roman"/>
                <w:sz w:val="14"/>
                <w:szCs w:val="14"/>
              </w:rPr>
              <w:t xml:space="preserve"> Threat actors may put on a demeanor of being upset or stressed </w:t>
            </w:r>
            <w:proofErr w:type="gramStart"/>
            <w:r w:rsidRPr="00D3610A">
              <w:rPr>
                <w:rFonts w:eastAsia="Arial" w:cs="Times New Roman"/>
                <w:sz w:val="14"/>
                <w:szCs w:val="14"/>
              </w:rPr>
              <w:t>in order to</w:t>
            </w:r>
            <w:proofErr w:type="gramEnd"/>
            <w:r w:rsidRPr="00D3610A">
              <w:rPr>
                <w:rFonts w:eastAsia="Arial" w:cs="Times New Roman"/>
                <w:sz w:val="14"/>
                <w:szCs w:val="14"/>
              </w:rPr>
              <w:t xml:space="preserve"> make the victim feel sympathy towards their perceived state. This could make the victim more likely to fulfill the threat actor's requests.</w:t>
            </w:r>
          </w:p>
        </w:tc>
        <w:tc>
          <w:tcPr>
            <w:tcW w:w="3411" w:type="dxa"/>
          </w:tcPr>
          <w:p w14:paraId="6688BB7C"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OSINT discovery (I-5) |</w:t>
            </w:r>
            <w:r w:rsidRPr="00D3610A">
              <w:rPr>
                <w:rFonts w:eastAsia="Arial" w:cs="Times New Roman"/>
                <w:sz w:val="14"/>
                <w:szCs w:val="14"/>
              </w:rPr>
              <w:t xml:space="preserve"> Threat actors may be able to answer security identity questions or even obtain credentials from open-source applications such as social media platforms or public websites.</w:t>
            </w:r>
          </w:p>
        </w:tc>
        <w:tc>
          <w:tcPr>
            <w:tcW w:w="3410" w:type="dxa"/>
          </w:tcPr>
          <w:p w14:paraId="268D7BB6"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Gather PII (D-5) |</w:t>
            </w:r>
            <w:r w:rsidRPr="00D3610A">
              <w:rPr>
                <w:rFonts w:eastAsia="Arial" w:cs="Times New Roman"/>
                <w:sz w:val="14"/>
                <w:szCs w:val="14"/>
              </w:rPr>
              <w:t xml:space="preserve"> Threat actors may attempt to have the victim divulge personal identifiable information (PII), of themselves or another individual, which can be used for subsequent attacks or direct exploitation. The information could be a credit card number, social security number, home address, etc.</w:t>
            </w:r>
          </w:p>
        </w:tc>
        <w:tc>
          <w:tcPr>
            <w:tcW w:w="3411" w:type="dxa"/>
          </w:tcPr>
          <w:p w14:paraId="1CCFABAB"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Provide alternative process (EA-5) |</w:t>
            </w:r>
            <w:r w:rsidRPr="00D3610A">
              <w:rPr>
                <w:rFonts w:eastAsia="Arial" w:cs="Times New Roman"/>
                <w:sz w:val="14"/>
                <w:szCs w:val="14"/>
              </w:rPr>
              <w:t xml:space="preserve"> When making requests from the victim, threat actors can suggest processes outside of what's approved by the organization. An example would be when making a request to a service desk for a reset password link, the threat actor would suggest it to be sent to an email they provide rather than the official one on file.</w:t>
            </w:r>
          </w:p>
        </w:tc>
      </w:tr>
      <w:tr w:rsidR="00D3610A" w:rsidRPr="00D3610A" w14:paraId="2260C56D" w14:textId="77777777" w:rsidTr="00D3610A">
        <w:trPr>
          <w:trHeight w:val="58"/>
        </w:trPr>
        <w:tc>
          <w:tcPr>
            <w:tcW w:w="3411" w:type="dxa"/>
            <w:shd w:val="clear" w:color="auto" w:fill="999999"/>
          </w:tcPr>
          <w:p w14:paraId="2F0719BC" w14:textId="77777777" w:rsidR="00D3610A" w:rsidRPr="00D3610A" w:rsidRDefault="00D3610A" w:rsidP="00D3610A">
            <w:pPr>
              <w:spacing w:after="120" w:line="276" w:lineRule="auto"/>
              <w:jc w:val="both"/>
              <w:rPr>
                <w:rFonts w:eastAsia="Arial" w:cs="Times New Roman"/>
                <w:b/>
                <w:bCs/>
                <w:sz w:val="14"/>
                <w:szCs w:val="14"/>
              </w:rPr>
            </w:pPr>
          </w:p>
        </w:tc>
        <w:tc>
          <w:tcPr>
            <w:tcW w:w="3411" w:type="dxa"/>
          </w:tcPr>
          <w:p w14:paraId="3E731EE2" w14:textId="77777777" w:rsidR="00D3610A" w:rsidRPr="00D3610A" w:rsidRDefault="00D3610A" w:rsidP="00D3610A">
            <w:pPr>
              <w:spacing w:after="120" w:line="276" w:lineRule="auto"/>
              <w:jc w:val="both"/>
              <w:rPr>
                <w:rFonts w:eastAsia="Arial" w:cs="Times New Roman"/>
                <w:sz w:val="14"/>
                <w:szCs w:val="14"/>
              </w:rPr>
            </w:pPr>
            <w:r w:rsidRPr="00D3610A">
              <w:rPr>
                <w:rFonts w:eastAsia="Arial" w:cs="Times New Roman"/>
                <w:b/>
                <w:bCs/>
                <w:sz w:val="14"/>
                <w:szCs w:val="14"/>
              </w:rPr>
              <w:t>Multiple points of contact (I-6) |</w:t>
            </w:r>
            <w:r w:rsidRPr="00D3610A">
              <w:rPr>
                <w:rFonts w:eastAsia="Arial" w:cs="Times New Roman"/>
                <w:sz w:val="14"/>
                <w:szCs w:val="14"/>
              </w:rPr>
              <w:t xml:space="preserve"> Prior to a vishing call, threat actors may contact the target through another channel, such as email, with some information establishing the pre-text narrative that can be referenced during the call. Multiple </w:t>
            </w:r>
            <w:r w:rsidRPr="00D3610A">
              <w:rPr>
                <w:rFonts w:eastAsia="Arial" w:cs="Times New Roman"/>
                <w:sz w:val="14"/>
                <w:szCs w:val="14"/>
              </w:rPr>
              <w:lastRenderedPageBreak/>
              <w:t>references to the same story create a sense of validity in the victim's mind.</w:t>
            </w:r>
          </w:p>
        </w:tc>
        <w:tc>
          <w:tcPr>
            <w:tcW w:w="3410" w:type="dxa"/>
            <w:shd w:val="clear" w:color="auto" w:fill="999999"/>
          </w:tcPr>
          <w:p w14:paraId="617498EB" w14:textId="77777777" w:rsidR="00D3610A" w:rsidRPr="00D3610A" w:rsidRDefault="00D3610A" w:rsidP="00D3610A">
            <w:pPr>
              <w:spacing w:after="120" w:line="276" w:lineRule="auto"/>
              <w:jc w:val="both"/>
              <w:rPr>
                <w:rFonts w:eastAsia="Arial" w:cs="Times New Roman"/>
                <w:sz w:val="14"/>
                <w:szCs w:val="14"/>
              </w:rPr>
            </w:pPr>
          </w:p>
        </w:tc>
        <w:tc>
          <w:tcPr>
            <w:tcW w:w="3411" w:type="dxa"/>
            <w:shd w:val="clear" w:color="auto" w:fill="999999"/>
          </w:tcPr>
          <w:p w14:paraId="511B60E3" w14:textId="77777777" w:rsidR="00D3610A" w:rsidRPr="00D3610A" w:rsidRDefault="00D3610A" w:rsidP="00D3610A">
            <w:pPr>
              <w:spacing w:after="120" w:line="276" w:lineRule="auto"/>
              <w:jc w:val="both"/>
              <w:rPr>
                <w:rFonts w:eastAsia="Arial" w:cs="Times New Roman"/>
                <w:sz w:val="14"/>
                <w:szCs w:val="14"/>
              </w:rPr>
            </w:pPr>
          </w:p>
        </w:tc>
      </w:tr>
    </w:tbl>
    <w:p w14:paraId="2C04C84C" w14:textId="77777777" w:rsidR="00CA3308" w:rsidRDefault="00CA3308"/>
    <w:sectPr w:rsidR="00CA33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7F"/>
    <w:rsid w:val="003C3274"/>
    <w:rsid w:val="005954DB"/>
    <w:rsid w:val="006C242B"/>
    <w:rsid w:val="00845B7F"/>
    <w:rsid w:val="00847ECF"/>
    <w:rsid w:val="00CA3308"/>
    <w:rsid w:val="00D36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CE14"/>
  <w15:chartTrackingRefBased/>
  <w15:docId w15:val="{507544AE-8A28-4367-B78F-5FA66A7E2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B7F"/>
    <w:rPr>
      <w:rFonts w:eastAsiaTheme="majorEastAsia" w:cstheme="majorBidi"/>
      <w:color w:val="272727" w:themeColor="text1" w:themeTint="D8"/>
    </w:rPr>
  </w:style>
  <w:style w:type="paragraph" w:styleId="Title">
    <w:name w:val="Title"/>
    <w:basedOn w:val="Normal"/>
    <w:next w:val="Normal"/>
    <w:link w:val="TitleChar"/>
    <w:uiPriority w:val="10"/>
    <w:qFormat/>
    <w:rsid w:val="00845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B7F"/>
    <w:pPr>
      <w:spacing w:before="160"/>
      <w:jc w:val="center"/>
    </w:pPr>
    <w:rPr>
      <w:i/>
      <w:iCs/>
      <w:color w:val="404040" w:themeColor="text1" w:themeTint="BF"/>
    </w:rPr>
  </w:style>
  <w:style w:type="character" w:customStyle="1" w:styleId="QuoteChar">
    <w:name w:val="Quote Char"/>
    <w:basedOn w:val="DefaultParagraphFont"/>
    <w:link w:val="Quote"/>
    <w:uiPriority w:val="29"/>
    <w:rsid w:val="00845B7F"/>
    <w:rPr>
      <w:i/>
      <w:iCs/>
      <w:color w:val="404040" w:themeColor="text1" w:themeTint="BF"/>
    </w:rPr>
  </w:style>
  <w:style w:type="paragraph" w:styleId="ListParagraph">
    <w:name w:val="List Paragraph"/>
    <w:basedOn w:val="Normal"/>
    <w:uiPriority w:val="34"/>
    <w:qFormat/>
    <w:rsid w:val="00845B7F"/>
    <w:pPr>
      <w:ind w:left="720"/>
      <w:contextualSpacing/>
    </w:pPr>
  </w:style>
  <w:style w:type="character" w:styleId="IntenseEmphasis">
    <w:name w:val="Intense Emphasis"/>
    <w:basedOn w:val="DefaultParagraphFont"/>
    <w:uiPriority w:val="21"/>
    <w:qFormat/>
    <w:rsid w:val="00845B7F"/>
    <w:rPr>
      <w:i/>
      <w:iCs/>
      <w:color w:val="0F4761" w:themeColor="accent1" w:themeShade="BF"/>
    </w:rPr>
  </w:style>
  <w:style w:type="paragraph" w:styleId="IntenseQuote">
    <w:name w:val="Intense Quote"/>
    <w:basedOn w:val="Normal"/>
    <w:next w:val="Normal"/>
    <w:link w:val="IntenseQuoteChar"/>
    <w:uiPriority w:val="30"/>
    <w:qFormat/>
    <w:rsid w:val="00845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B7F"/>
    <w:rPr>
      <w:i/>
      <w:iCs/>
      <w:color w:val="0F4761" w:themeColor="accent1" w:themeShade="BF"/>
    </w:rPr>
  </w:style>
  <w:style w:type="character" w:styleId="IntenseReference">
    <w:name w:val="Intense Reference"/>
    <w:basedOn w:val="DefaultParagraphFont"/>
    <w:uiPriority w:val="32"/>
    <w:qFormat/>
    <w:rsid w:val="00845B7F"/>
    <w:rPr>
      <w:b/>
      <w:bCs/>
      <w:smallCaps/>
      <w:color w:val="0F4761" w:themeColor="accent1" w:themeShade="BF"/>
      <w:spacing w:val="5"/>
    </w:rPr>
  </w:style>
  <w:style w:type="table" w:customStyle="1" w:styleId="htable1">
    <w:name w:val="htable1"/>
    <w:basedOn w:val="TableNormal"/>
    <w:next w:val="TableNormal"/>
    <w:uiPriority w:val="39"/>
    <w:rsid w:val="00D3610A"/>
    <w:pPr>
      <w:spacing w:after="0" w:line="240" w:lineRule="auto"/>
    </w:pPr>
    <w:rPr>
      <w:rFonts w:ascii="Arial" w:hAnsi="Arial"/>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842</Words>
  <Characters>4801</Characters>
  <Application>Microsoft Office Word</Application>
  <DocSecurity>0</DocSecurity>
  <Lines>40</Lines>
  <Paragraphs>11</Paragraphs>
  <ScaleCrop>false</ScaleCrop>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Nowlan</dc:creator>
  <cp:keywords/>
  <dc:description/>
  <cp:lastModifiedBy>Will Nowlan</cp:lastModifiedBy>
  <cp:revision>3</cp:revision>
  <dcterms:created xsi:type="dcterms:W3CDTF">2026-07-07T13:59:00Z</dcterms:created>
  <dcterms:modified xsi:type="dcterms:W3CDTF">2026-07-07T15:05:00Z</dcterms:modified>
</cp:coreProperties>
</file>