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C6B7C"/>
          <w:spacing w:val="30"/>
          <w:sz w:val="22"/>
          <w:szCs w:val="22"/>
        </w:rPr>
        <w:t xml:space="preserve">GROUPE ENSUP — ENSITECH</w:t>
      </w:r>
    </w:p>
    <w:p>
      <w:pPr>
        <w:jc w:val="center"/>
      </w:pPr>
      <w:r>
        <w:rPr>
          <w:rFonts w:ascii="Arial" w:cs="Arial" w:eastAsia="Arial" w:hAnsi="Arial"/>
          <w:color w:val="5C6B7C"/>
          <w:sz w:val="18"/>
          <w:szCs w:val="18"/>
        </w:rPr>
        <w:t xml:space="preserve">École Nationale Supérieure de l'Informatique et des Technologies</w:t>
      </w:r>
    </w:p>
    <w:p>
      <w:pPr>
        <w:pBdr>
          <w:bottom w:val="single" w:color="1652F0" w:sz="8" w:space="8"/>
        </w:pBdr>
        <w:spacing w:after="360" w:before="120"/>
      </w:pPr>
      <w:r>
        <w:rPr>
          <w:rFonts w:ascii="Arial" w:cs="Arial" w:eastAsia="Arial" w:hAnsi="Arial"/>
        </w:rPr>
        <w:t xml:space="preserve"/>
      </w:r>
    </w:p>
    <w:p>
      <w:pPr>
        <w:spacing w:after="40"/>
        <w:jc w:val="center"/>
      </w:pPr>
      <w:r>
        <w:rPr>
          <w:rFonts w:ascii="Arial" w:cs="Arial" w:eastAsia="Arial" w:hAnsi="Arial"/>
          <w:b/>
          <w:bCs/>
          <w:color w:val="0B1F3A"/>
          <w:sz w:val="24"/>
          <w:szCs w:val="24"/>
        </w:rPr>
        <w:t xml:space="preserve">Master 1 — Développement &amp; Innovation (M1-DI)</w:t>
      </w:r>
    </w:p>
    <w:p>
      <w:pPr>
        <w:spacing w:after="480"/>
        <w:jc w:val="center"/>
      </w:pPr>
      <w:r>
        <w:rPr>
          <w:rFonts w:ascii="Arial" w:cs="Arial" w:eastAsia="Arial" w:hAnsi="Arial"/>
          <w:i/>
          <w:iCs/>
          <w:color w:val="5C6B7C"/>
          <w:sz w:val="18"/>
          <w:szCs w:val="18"/>
        </w:rPr>
        <w:t xml:space="preserve">Examen partiel — Semestre 2 — Année 2025-2026</w:t>
      </w:r>
    </w:p>
    <w:p>
      <w:pPr>
        <w:spacing w:after="80"/>
        <w:jc w:val="center"/>
      </w:pPr>
      <w:r>
        <w:rPr>
          <w:rFonts w:ascii="Arial" w:cs="Arial" w:eastAsia="Arial" w:hAnsi="Arial"/>
          <w:b/>
          <w:bCs/>
          <w:color w:val="0B1F3A"/>
          <w:sz w:val="38"/>
          <w:szCs w:val="38"/>
        </w:rPr>
        <w:t xml:space="preserve">CONCEPTION DE LA BASE DE DONNÉES</w:t>
      </w:r>
    </w:p>
    <w:p>
      <w:pPr>
        <w:spacing w:after="200"/>
        <w:jc w:val="center"/>
      </w:pPr>
      <w:r>
        <w:rPr>
          <w:rFonts w:ascii="Arial" w:cs="Arial" w:eastAsia="Arial" w:hAnsi="Arial"/>
          <w:b/>
          <w:bCs/>
          <w:color w:val="1652F0"/>
          <w:sz w:val="22"/>
          <w:szCs w:val="22"/>
        </w:rPr>
        <w:t xml:space="preserve">Méthode MERISE — MCD · MLD · MPD · Dictionnaire de données</w:t>
      </w:r>
    </w:p>
    <w:p>
      <w:pPr>
        <w:spacing w:after="520"/>
        <w:jc w:val="center"/>
      </w:pPr>
      <w:r>
        <w:rPr>
          <w:rFonts w:ascii="Arial" w:cs="Arial" w:eastAsia="Arial" w:hAnsi="Arial"/>
          <w:i/>
          <w:iCs/>
          <w:color w:val="5C6B7C"/>
          <w:sz w:val="22"/>
          <w:szCs w:val="22"/>
        </w:rPr>
        <w:t xml:space="preserve">Application de suivi de la Coupe du Monde de football FIFA 2026</w:t>
      </w:r>
    </w:p>
    <w:p>
      <w:pPr>
        <w:pBdr>
          <w:top w:val="single" w:color="CCD5DF" w:sz="6" w:space="10"/>
        </w:pBdr>
        <w:spacing w:after="60" w:before="120"/>
        <w:jc w:val="center"/>
      </w:pPr>
      <w:r>
        <w:rPr>
          <w:rFonts w:ascii="Arial" w:cs="Arial" w:eastAsia="Arial" w:hAnsi="Arial"/>
          <w:color w:val="5C6B7C"/>
          <w:sz w:val="18"/>
          <w:szCs w:val="18"/>
        </w:rPr>
        <w:t xml:space="preserve">Réalisé par</w:t>
      </w:r>
    </w:p>
    <w:p>
      <w:pPr>
        <w:spacing w:after="40"/>
        <w:jc w:val="center"/>
      </w:pPr>
      <w:r>
        <w:rPr>
          <w:rFonts w:ascii="Arial" w:cs="Arial" w:eastAsia="Arial" w:hAnsi="Arial"/>
          <w:b/>
          <w:bCs/>
          <w:color w:val="0B1F3A"/>
          <w:sz w:val="28"/>
          <w:szCs w:val="28"/>
        </w:rPr>
        <w:t xml:space="preserve">Islem BEN HAMIDA</w:t>
      </w:r>
    </w:p>
    <w:p>
      <w:pPr>
        <w:jc w:val="center"/>
      </w:pPr>
      <w:r>
        <w:rPr>
          <w:rFonts w:ascii="Arial" w:cs="Arial" w:eastAsia="Arial" w:hAnsi="Arial"/>
          <w:color w:val="5C6B7C"/>
          <w:sz w:val="18"/>
          <w:szCs w:val="18"/>
        </w:rPr>
        <w:t xml:space="preserve">Document individuel — Projet de binôme (2 étudiants)</w:t>
      </w:r>
    </w:p>
    <w:p>
      <w:r>
        <w:br w:type="page"/>
      </w:r>
    </w:p>
    <w:p>
      <w:pPr>
        <w:spacing w:after="160"/>
      </w:pPr>
      <w:r>
        <w:rPr>
          <w:rFonts w:ascii="Arial" w:cs="Arial" w:eastAsia="Arial" w:hAnsi="Arial"/>
          <w:b/>
          <w:bCs/>
          <w:color w:val="0B1F3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140" w:line="276"/>
        <w:jc w:val="both"/>
      </w:pPr>
      <w:r>
        <w:rPr>
          <w:rFonts w:ascii="Arial" w:cs="Arial" w:eastAsia="Arial" w:hAnsi="Arial"/>
        </w:rPr>
        <w:t xml:space="preserve">Ce document présente la conception de la base de données relationnelle de l'application de suivi de la Coupe du Monde FIFA 2026, selon la méthode MERISE. Il décline successivement le modèle conceptuel (MCD), le modèle logique (MLD), le modèle physique (MPD) et le dictionnaire de données. Les modèles sont cohérents entre eux et alignés sur le diagramme des entités issu de la conception UML.</w:t>
      </w:r>
    </w:p>
    <w:p>
      <w:pPr>
        <w:spacing w:after="140" w:line="276"/>
        <w:jc w:val="both"/>
      </w:pPr>
      <w:r>
        <w:rPr>
          <w:rFonts w:ascii="Arial" w:cs="Arial" w:eastAsia="Arial" w:hAnsi="Arial"/>
        </w:rPr>
        <w:t xml:space="preserve">La base de données n'est pas exploitée par un back-end serveur dans la version livrée (les données sont fournies par une couche service simulée côté client) ; cette conception décrit néanmoins le schéma relationnel cible, directement implémentable, vers lequel l'application peut évoluer.</w:t>
      </w:r>
    </w:p>
    <w:p>
      <w:pPr>
        <w:pStyle w:val="Heading1"/>
      </w:pPr>
      <w:r>
        <w:rPr>
          <w:rFonts w:ascii="Arial" w:cs="Arial" w:eastAsia="Arial" w:hAnsi="Arial"/>
        </w:rPr>
        <w:t xml:space="preserve">2. Modèle Conceptuel de Données (MCD)</w:t>
      </w:r>
    </w:p>
    <w:p>
      <w:pPr>
        <w:spacing w:after="140" w:line="276"/>
        <w:jc w:val="both"/>
      </w:pPr>
      <w:r>
        <w:rPr>
          <w:rFonts w:ascii="Arial" w:cs="Arial" w:eastAsia="Arial" w:hAnsi="Arial"/>
        </w:rPr>
        <w:t xml:space="preserve">Le MCD identifie les entités métier, leurs associations, les cardinalités et les attributs principaux. Cinq entités sont retenues : ÉQUIPE, GROUPE, MATCH, PHASE et STADE.</w:t>
      </w:r>
    </w:p>
    <w:p>
      <w:pPr>
        <w:spacing w:after="60" w:before="80"/>
        <w:jc w:val="center"/>
      </w:pPr>
      <w:r>
        <w:drawing>
          <wp:inline distT="0" distB="0" distL="0" distR="0">
            <wp:extent cx="53340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60320"/>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1 — Modèle conceptuel de données (entité-association)</w:t>
      </w:r>
    </w:p>
    <w:p>
      <w:pPr>
        <w:pStyle w:val="Heading2"/>
      </w:pPr>
      <w:r>
        <w:rPr>
          <w:rFonts w:ascii="Arial" w:cs="Arial" w:eastAsia="Arial" w:hAnsi="Arial"/>
        </w:rPr>
        <w:t xml:space="preserve">2.1 Entités et associations</w:t>
      </w:r>
    </w:p>
    <w:p>
      <w:pPr>
        <w:pStyle w:val="ListParagraph"/>
        <w:numPr>
          <w:ilvl w:val="0"/>
          <w:numId w:val="2"/>
        </w:numPr>
        <w:spacing w:after="60" w:line="268"/>
      </w:pPr>
      <w:r>
        <w:rPr>
          <w:rFonts w:ascii="Arial" w:cs="Arial" w:eastAsia="Arial" w:hAnsi="Arial"/>
          <w:b/>
          <w:bCs/>
        </w:rPr>
        <w:t xml:space="preserve">APPARTENIR — </w:t>
      </w:r>
      <w:r>
        <w:rPr>
          <w:rFonts w:ascii="Arial" w:cs="Arial" w:eastAsia="Arial" w:hAnsi="Arial"/>
        </w:rPr>
        <w:t xml:space="preserve">une équipe appartient à un groupe ; un groupe contient plusieurs équipes (1,1) / (1,n).</w:t>
      </w:r>
    </w:p>
    <w:p>
      <w:pPr>
        <w:pStyle w:val="ListParagraph"/>
        <w:numPr>
          <w:ilvl w:val="0"/>
          <w:numId w:val="2"/>
        </w:numPr>
        <w:spacing w:after="60" w:line="268"/>
      </w:pPr>
      <w:r>
        <w:rPr>
          <w:rFonts w:ascii="Arial" w:cs="Arial" w:eastAsia="Arial" w:hAnsi="Arial"/>
          <w:b/>
          <w:bCs/>
        </w:rPr>
        <w:t xml:space="preserve">JOUER (domicile / extérieur) — </w:t>
      </w:r>
      <w:r>
        <w:rPr>
          <w:rFonts w:ascii="Arial" w:cs="Arial" w:eastAsia="Arial" w:hAnsi="Arial"/>
        </w:rPr>
        <w:t xml:space="preserve">un match oppose deux équipes ; chaque équipe joue plusieurs matchs (1,1) / (0,n).</w:t>
      </w:r>
    </w:p>
    <w:p>
      <w:pPr>
        <w:pStyle w:val="ListParagraph"/>
        <w:numPr>
          <w:ilvl w:val="0"/>
          <w:numId w:val="2"/>
        </w:numPr>
        <w:spacing w:after="60" w:line="268"/>
      </w:pPr>
      <w:r>
        <w:rPr>
          <w:rFonts w:ascii="Arial" w:cs="Arial" w:eastAsia="Arial" w:hAnsi="Arial"/>
          <w:b/>
          <w:bCs/>
        </w:rPr>
        <w:t xml:space="preserve">RATTACHER — </w:t>
      </w:r>
      <w:r>
        <w:rPr>
          <w:rFonts w:ascii="Arial" w:cs="Arial" w:eastAsia="Arial" w:hAnsi="Arial"/>
        </w:rPr>
        <w:t xml:space="preserve">un match de poule est rattaché à un groupe ; les matchs à élimination directe n'en ont pas (0,1) / (0,n).</w:t>
      </w:r>
    </w:p>
    <w:p>
      <w:pPr>
        <w:pStyle w:val="ListParagraph"/>
        <w:numPr>
          <w:ilvl w:val="0"/>
          <w:numId w:val="2"/>
        </w:numPr>
        <w:spacing w:after="60" w:line="268"/>
      </w:pPr>
      <w:r>
        <w:rPr>
          <w:rFonts w:ascii="Arial" w:cs="Arial" w:eastAsia="Arial" w:hAnsi="Arial"/>
          <w:b/>
          <w:bCs/>
        </w:rPr>
        <w:t xml:space="preserve">CONCERNER — </w:t>
      </w:r>
      <w:r>
        <w:rPr>
          <w:rFonts w:ascii="Arial" w:cs="Arial" w:eastAsia="Arial" w:hAnsi="Arial"/>
        </w:rPr>
        <w:t xml:space="preserve">un match appartient à une phase de la compétition (1,1) / (1,n).</w:t>
      </w:r>
    </w:p>
    <w:p>
      <w:pPr>
        <w:pStyle w:val="ListParagraph"/>
        <w:numPr>
          <w:ilvl w:val="0"/>
          <w:numId w:val="2"/>
        </w:numPr>
        <w:spacing w:after="60" w:line="268"/>
      </w:pPr>
      <w:r>
        <w:rPr>
          <w:rFonts w:ascii="Arial" w:cs="Arial" w:eastAsia="Arial" w:hAnsi="Arial"/>
          <w:b/>
          <w:bCs/>
        </w:rPr>
        <w:t xml:space="preserve">SE JOUER — </w:t>
      </w:r>
      <w:r>
        <w:rPr>
          <w:rFonts w:ascii="Arial" w:cs="Arial" w:eastAsia="Arial" w:hAnsi="Arial"/>
        </w:rPr>
        <w:t xml:space="preserve">un match se joue dans un stade (1,1) / (0,n).</w:t>
      </w:r>
    </w:p>
    <w:p>
      <w:pPr>
        <w:pStyle w:val="Heading1"/>
      </w:pPr>
      <w:r>
        <w:rPr>
          <w:rFonts w:ascii="Arial" w:cs="Arial" w:eastAsia="Arial" w:hAnsi="Arial"/>
        </w:rPr>
        <w:t xml:space="preserve">3. Modèle Logique de Données (MLD)</w:t>
      </w:r>
    </w:p>
    <w:p>
      <w:pPr>
        <w:spacing w:after="140" w:line="276"/>
        <w:jc w:val="both"/>
      </w:pPr>
      <w:r>
        <w:rPr>
          <w:rFonts w:ascii="Arial" w:cs="Arial" w:eastAsia="Arial" w:hAnsi="Arial"/>
        </w:rPr>
        <w:t xml:space="preserve">Le passage du MCD au MLD transforme les entités en tables et les associations en clés étrangères. Les associations de type (1,1) côté match conduisent à porter les clés étrangères dans la table MATCH.</w:t>
      </w:r>
    </w:p>
    <w:p>
      <w:pPr>
        <w:spacing w:after="60" w:before="80"/>
        <w:jc w:val="center"/>
      </w:pPr>
      <w:r>
        <w:drawing>
          <wp:inline distT="0" distB="0" distL="0" distR="0">
            <wp:extent cx="5334000" cy="33798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79816"/>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2 — Modèle logique de données (schéma relationnel)</w:t>
      </w:r>
    </w:p>
    <w:p>
      <w:pPr>
        <w:pStyle w:val="Heading2"/>
      </w:pPr>
      <w:r>
        <w:rPr>
          <w:rFonts w:ascii="Arial" w:cs="Arial" w:eastAsia="Arial" w:hAnsi="Arial"/>
        </w:rPr>
        <w:t xml:space="preserve">3.1 Schéma relationnel</w:t>
      </w:r>
    </w:p>
    <w:p>
      <w:pPr>
        <w:pBdr>
          <w:left w:val="single" w:color="1652F0" w:sz="12" w:space="8"/>
        </w:pBdr>
        <w:shd w:fill="F1F4F8" w:val="clear"/>
        <w:spacing w:after="140" w:before="60"/>
        <w:ind w:left="120"/>
      </w:pPr>
      <w:r>
        <w:rPr>
          <w:rFonts w:ascii="Consolas" w:cs="Consolas" w:eastAsia="Consolas" w:hAnsi="Consolas"/>
          <w:color w:val="0B1F3A"/>
          <w:sz w:val="16"/>
          <w:szCs w:val="16"/>
        </w:rPr>
        <w:t xml:space="preserve">GROUPE   (#id_groupe, libelle)</w:t>
        <w:br/>
        <w:t xml:space="preserve">PHASE    (#id_phase, libelle)</w:t>
        <w:br/>
        <w:t xml:space="preserve">STADE    (#id_stade, nom, ville)</w:t>
        <w:br/>
        <w:t xml:space="preserve">EQUIPE   (#id_equipe, nom, code, drapeau, confederation, #id_groupe =&gt; GROUPE)</w:t>
        <w:br/>
        <w:t xml:space="preserve">MATCH    (#id_match, date_heure, statut, score_dom, score_ext, minute,</w:t>
        <w:br/>
        <w:t xml:space="preserve">          #id_phase =&gt; PHASE, #id_stade =&gt; STADE,</w:t>
        <w:br/>
        <w:t xml:space="preserve">          #id_equipe_dom =&gt; EQUIPE, #id_equipe_ext =&gt; EQUIPE,</w:t>
        <w:br/>
        <w:t xml:space="preserve">          #id_groupe =&gt; GROUPE [null])</w:t>
        <w:br/>
        <w:t xml:space="preserve">CLASSEMENT (#id_equipe =&gt; EQUIPE, joues, gagnes, nuls, perdus,</w:t>
        <w:br/>
        <w:t xml:space="preserve">          buts_pour, buts_contre, points)</w:t>
      </w:r>
    </w:p>
    <w:p>
      <w:pPr>
        <w:spacing w:after="140" w:line="276"/>
        <w:jc w:val="both"/>
      </w:pPr>
      <w:r>
        <w:rPr>
          <w:rFonts w:ascii="Arial" w:cs="Arial" w:eastAsia="Arial" w:hAnsi="Arial"/>
        </w:rPr>
        <w:t xml:space="preserve">Notation : « # » désigne une clé (primaire si en tête, étrangère si suivie de « =&gt; table »). La table CLASSEMENT peut être matérialisée ou calculée à la volée (vue) à partir des résultats des matchs.</w:t>
      </w:r>
    </w:p>
    <w:p>
      <w:pPr>
        <w:pStyle w:val="Heading2"/>
      </w:pPr>
      <w:r>
        <w:rPr>
          <w:rFonts w:ascii="Arial" w:cs="Arial" w:eastAsia="Arial" w:hAnsi="Arial"/>
        </w:rPr>
        <w:t xml:space="preserve">3.2 Règles de normalisation</w:t>
      </w:r>
    </w:p>
    <w:p>
      <w:pPr>
        <w:pStyle w:val="ListParagraph"/>
        <w:numPr>
          <w:ilvl w:val="0"/>
          <w:numId w:val="2"/>
        </w:numPr>
        <w:spacing w:after="60" w:line="268"/>
      </w:pPr>
      <w:r>
        <w:rPr>
          <w:rFonts w:ascii="Arial" w:cs="Arial" w:eastAsia="Arial" w:hAnsi="Arial"/>
        </w:rPr>
        <w:t xml:space="preserve">1FN : tous les attributs sont atomiques (pas de valeurs multiples).</w:t>
      </w:r>
    </w:p>
    <w:p>
      <w:pPr>
        <w:pStyle w:val="ListParagraph"/>
        <w:numPr>
          <w:ilvl w:val="0"/>
          <w:numId w:val="2"/>
        </w:numPr>
        <w:spacing w:after="60" w:line="268"/>
      </w:pPr>
      <w:r>
        <w:rPr>
          <w:rFonts w:ascii="Arial" w:cs="Arial" w:eastAsia="Arial" w:hAnsi="Arial"/>
        </w:rPr>
        <w:t xml:space="preserve">2FN : chaque attribut non clé dépend de la totalité de la clé primaire.</w:t>
      </w:r>
    </w:p>
    <w:p>
      <w:pPr>
        <w:pStyle w:val="ListParagraph"/>
        <w:numPr>
          <w:ilvl w:val="0"/>
          <w:numId w:val="2"/>
        </w:numPr>
        <w:spacing w:after="60" w:line="268"/>
      </w:pPr>
      <w:r>
        <w:rPr>
          <w:rFonts w:ascii="Arial" w:cs="Arial" w:eastAsia="Arial" w:hAnsi="Arial"/>
        </w:rPr>
        <w:t xml:space="preserve">3FN : aucun attribut non clé ne dépend d'un autre attribut non clé (pas de dépendance transitive).</w:t>
      </w:r>
    </w:p>
    <w:p>
      <w:pPr>
        <w:pStyle w:val="Heading1"/>
      </w:pPr>
      <w:r>
        <w:rPr>
          <w:rFonts w:ascii="Arial" w:cs="Arial" w:eastAsia="Arial" w:hAnsi="Arial"/>
        </w:rPr>
        <w:t xml:space="preserve">4. Modèle Physique de Données (MPD)</w:t>
      </w:r>
    </w:p>
    <w:p>
      <w:pPr>
        <w:spacing w:after="140" w:line="276"/>
        <w:jc w:val="both"/>
      </w:pPr>
      <w:r>
        <w:rPr>
          <w:rFonts w:ascii="Arial" w:cs="Arial" w:eastAsia="Arial" w:hAnsi="Arial"/>
        </w:rPr>
        <w:t xml:space="preserve">Le MPD traduit le MLD pour un SGBD relationnel (exemple : MySQL / PostgreSQL). Il précise les types, la nullité, les clés et les contraintes d'intégrité.</w:t>
      </w:r>
    </w:p>
    <w:p>
      <w:pPr>
        <w:spacing w:after="60" w:before="80"/>
        <w:jc w:val="center"/>
      </w:pPr>
      <w:r>
        <w:drawing>
          <wp:inline distT="0" distB="0" distL="0" distR="0">
            <wp:extent cx="5334000" cy="35107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10742"/>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3 — Modèle physique de données (schéma SGBD, types et contraintes)</w:t>
      </w:r>
    </w:p>
    <w:p>
      <w:pPr>
        <w:spacing w:after="60" w:before="140"/>
      </w:pPr>
      <w:r>
        <w:rPr>
          <w:rFonts w:ascii="Arial" w:cs="Arial" w:eastAsia="Arial" w:hAnsi="Arial"/>
          <w:b/>
          <w:bCs/>
          <w:color w:val="0B1F3A"/>
          <w:sz w:val="21"/>
          <w:szCs w:val="21"/>
        </w:rPr>
        <w:t xml:space="preserve">Table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400"/>
        <w:gridCol w:w="2526"/>
      </w:tblGrid>
      <w:tr>
        <w:trPr>
          <w:tblHeader/>
        </w:trPr>
        <w:tc>
          <w:tcPr>
            <w:tcW w:type="dxa" w:w="2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Champ</w:t>
            </w:r>
          </w:p>
        </w:tc>
        <w:tc>
          <w:tcPr>
            <w:tcW w:type="dxa" w:w="1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w:t>
            </w:r>
          </w:p>
        </w:tc>
        <w:tc>
          <w:tcPr>
            <w:tcW w:type="dxa" w:w="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Null</w:t>
            </w:r>
          </w:p>
        </w:tc>
        <w:tc>
          <w:tcPr>
            <w:tcW w:type="dxa" w:w="14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Clé</w:t>
            </w:r>
          </w:p>
        </w:tc>
        <w:tc>
          <w:tcPr>
            <w:tcW w:type="dxa" w:w="252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Contraintes</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id_groupe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AUTO_INCREMENT</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libelle</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VARCHAR(40)</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UNIQUE</w:t>
            </w:r>
          </w:p>
        </w:tc>
      </w:tr>
    </w:tbl>
    <w:p>
      <w:pPr>
        <w:spacing w:after="60"/>
      </w:pPr>
      <w:r>
        <w:rPr>
          <w:rFonts w:ascii="Arial" w:cs="Arial" w:eastAsia="Arial" w:hAnsi="Arial"/>
        </w:rPr>
        <w:t xml:space="preserve"/>
      </w:r>
    </w:p>
    <w:p>
      <w:pPr>
        <w:spacing w:after="60" w:before="140"/>
      </w:pPr>
      <w:r>
        <w:rPr>
          <w:rFonts w:ascii="Arial" w:cs="Arial" w:eastAsia="Arial" w:hAnsi="Arial"/>
          <w:b/>
          <w:bCs/>
          <w:color w:val="0B1F3A"/>
          <w:sz w:val="21"/>
          <w:szCs w:val="21"/>
        </w:rPr>
        <w:t xml:space="preserve">Table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400"/>
        <w:gridCol w:w="2526"/>
      </w:tblGrid>
      <w:tr>
        <w:trPr>
          <w:tblHeader/>
        </w:trPr>
        <w:tc>
          <w:tcPr>
            <w:tcW w:type="dxa" w:w="2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Champ</w:t>
            </w:r>
          </w:p>
        </w:tc>
        <w:tc>
          <w:tcPr>
            <w:tcW w:type="dxa" w:w="1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w:t>
            </w:r>
          </w:p>
        </w:tc>
        <w:tc>
          <w:tcPr>
            <w:tcW w:type="dxa" w:w="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Null</w:t>
            </w:r>
          </w:p>
        </w:tc>
        <w:tc>
          <w:tcPr>
            <w:tcW w:type="dxa" w:w="14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Clé</w:t>
            </w:r>
          </w:p>
        </w:tc>
        <w:tc>
          <w:tcPr>
            <w:tcW w:type="dxa" w:w="252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Contraintes</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id_phase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AUTO_INCREMENT</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libelle</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VARCHAR(40)</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UNIQUE</w:t>
            </w:r>
          </w:p>
        </w:tc>
      </w:tr>
    </w:tbl>
    <w:p>
      <w:pPr>
        <w:spacing w:after="60"/>
      </w:pPr>
      <w:r>
        <w:rPr>
          <w:rFonts w:ascii="Arial" w:cs="Arial" w:eastAsia="Arial" w:hAnsi="Arial"/>
        </w:rPr>
        <w:t xml:space="preserve"/>
      </w:r>
    </w:p>
    <w:p>
      <w:pPr>
        <w:spacing w:after="60" w:before="140"/>
      </w:pPr>
      <w:r>
        <w:rPr>
          <w:rFonts w:ascii="Arial" w:cs="Arial" w:eastAsia="Arial" w:hAnsi="Arial"/>
          <w:b/>
          <w:bCs/>
          <w:color w:val="0B1F3A"/>
          <w:sz w:val="21"/>
          <w:szCs w:val="21"/>
        </w:rPr>
        <w:t xml:space="preserve">Table STADE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400"/>
        <w:gridCol w:w="2526"/>
      </w:tblGrid>
      <w:tr>
        <w:trPr>
          <w:tblHeader/>
        </w:trPr>
        <w:tc>
          <w:tcPr>
            <w:tcW w:type="dxa" w:w="2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Champ</w:t>
            </w:r>
          </w:p>
        </w:tc>
        <w:tc>
          <w:tcPr>
            <w:tcW w:type="dxa" w:w="1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w:t>
            </w:r>
          </w:p>
        </w:tc>
        <w:tc>
          <w:tcPr>
            <w:tcW w:type="dxa" w:w="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Null</w:t>
            </w:r>
          </w:p>
        </w:tc>
        <w:tc>
          <w:tcPr>
            <w:tcW w:type="dxa" w:w="14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Clé</w:t>
            </w:r>
          </w:p>
        </w:tc>
        <w:tc>
          <w:tcPr>
            <w:tcW w:type="dxa" w:w="252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Contraintes</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id_stade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AUTO_INCREMENT</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nom</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VARCHAR(80)</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ville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VARCHAR(60)</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r>
    </w:tbl>
    <w:p>
      <w:pPr>
        <w:spacing w:after="60"/>
      </w:pPr>
      <w:r>
        <w:rPr>
          <w:rFonts w:ascii="Arial" w:cs="Arial" w:eastAsia="Arial" w:hAnsi="Arial"/>
        </w:rPr>
        <w:t xml:space="preserve"/>
      </w:r>
    </w:p>
    <w:p>
      <w:pPr>
        <w:spacing w:after="60" w:before="140"/>
      </w:pPr>
      <w:r>
        <w:rPr>
          <w:rFonts w:ascii="Arial" w:cs="Arial" w:eastAsia="Arial" w:hAnsi="Arial"/>
          <w:b/>
          <w:bCs/>
          <w:color w:val="0B1F3A"/>
          <w:sz w:val="21"/>
          <w:szCs w:val="21"/>
        </w:rPr>
        <w:t xml:space="preserve">Table EQUIPE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400"/>
        <w:gridCol w:w="2526"/>
      </w:tblGrid>
      <w:tr>
        <w:trPr>
          <w:tblHeader/>
        </w:trPr>
        <w:tc>
          <w:tcPr>
            <w:tcW w:type="dxa" w:w="2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Champ</w:t>
            </w:r>
          </w:p>
        </w:tc>
        <w:tc>
          <w:tcPr>
            <w:tcW w:type="dxa" w:w="1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w:t>
            </w:r>
          </w:p>
        </w:tc>
        <w:tc>
          <w:tcPr>
            <w:tcW w:type="dxa" w:w="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Null</w:t>
            </w:r>
          </w:p>
        </w:tc>
        <w:tc>
          <w:tcPr>
            <w:tcW w:type="dxa" w:w="14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Clé</w:t>
            </w:r>
          </w:p>
        </w:tc>
        <w:tc>
          <w:tcPr>
            <w:tcW w:type="dxa" w:w="252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Contraintes</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id_equipe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AUTO_INCREMENT</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nom</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VARCHAR(60)</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code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VARCHAR(3)</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UNIQUE</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drapeau</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VARCHAR(8)</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confederation</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VARCHAR(20)</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id_groupe</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FK</w:t>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GROUPE</w:t>
            </w:r>
          </w:p>
        </w:tc>
      </w:tr>
    </w:tbl>
    <w:p>
      <w:pPr>
        <w:spacing w:after="60"/>
      </w:pPr>
      <w:r>
        <w:rPr>
          <w:rFonts w:ascii="Arial" w:cs="Arial" w:eastAsia="Arial" w:hAnsi="Arial"/>
        </w:rPr>
        <w:t xml:space="preserve"/>
      </w:r>
    </w:p>
    <w:p>
      <w:pPr>
        <w:spacing w:after="60" w:before="140"/>
      </w:pPr>
      <w:r>
        <w:rPr>
          <w:rFonts w:ascii="Arial" w:cs="Arial" w:eastAsia="Arial" w:hAnsi="Arial"/>
          <w:b/>
          <w:bCs/>
          <w:color w:val="0B1F3A"/>
          <w:sz w:val="21"/>
          <w:szCs w:val="21"/>
        </w:rPr>
        <w:t xml:space="preserve">Table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400"/>
        <w:gridCol w:w="2526"/>
      </w:tblGrid>
      <w:tr>
        <w:trPr>
          <w:tblHeader/>
        </w:trPr>
        <w:tc>
          <w:tcPr>
            <w:tcW w:type="dxa" w:w="2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Champ</w:t>
            </w:r>
          </w:p>
        </w:tc>
        <w:tc>
          <w:tcPr>
            <w:tcW w:type="dxa" w:w="1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w:t>
            </w:r>
          </w:p>
        </w:tc>
        <w:tc>
          <w:tcPr>
            <w:tcW w:type="dxa" w:w="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Null</w:t>
            </w:r>
          </w:p>
        </w:tc>
        <w:tc>
          <w:tcPr>
            <w:tcW w:type="dxa" w:w="14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Clé</w:t>
            </w:r>
          </w:p>
        </w:tc>
        <w:tc>
          <w:tcPr>
            <w:tcW w:type="dxa" w:w="252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Contraintes</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id_match</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AUTO_INCREMENT</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date_heure</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DATETIME</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statut</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VARCHAR(12)</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CHECK in (a_venir, en_cours, termine)</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score_dom</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CHECK &gt;= 0</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score_ext</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CHECK &gt;= 0</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minute</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CHECK 0..120</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id_phase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FK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PHASE</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id_stade</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FK</w:t>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STADE</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id_equipe_dom</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FK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EQUIPE</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id_equipe_ext</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FK</w:t>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EQUIPE</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id_groupe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FK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GROUPE</w:t>
            </w:r>
          </w:p>
        </w:tc>
      </w:tr>
    </w:tbl>
    <w:p>
      <w:pPr>
        <w:spacing w:after="60"/>
      </w:pPr>
      <w:r>
        <w:rPr>
          <w:rFonts w:ascii="Arial" w:cs="Arial" w:eastAsia="Arial" w:hAnsi="Arial"/>
        </w:rPr>
        <w:t xml:space="preserve"/>
      </w:r>
    </w:p>
    <w:p>
      <w:pPr>
        <w:spacing w:after="60" w:before="140"/>
      </w:pPr>
      <w:r>
        <w:rPr>
          <w:rFonts w:ascii="Arial" w:cs="Arial" w:eastAsia="Arial" w:hAnsi="Arial"/>
          <w:b/>
          <w:bCs/>
          <w:color w:val="0B1F3A"/>
          <w:sz w:val="21"/>
          <w:szCs w:val="21"/>
        </w:rPr>
        <w:t xml:space="preserve">Table CLASSEMENT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900"/>
        <w:gridCol w:w="1400"/>
        <w:gridCol w:w="2526"/>
      </w:tblGrid>
      <w:tr>
        <w:trPr>
          <w:tblHeader/>
        </w:trPr>
        <w:tc>
          <w:tcPr>
            <w:tcW w:type="dxa" w:w="2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Champ</w:t>
            </w:r>
          </w:p>
        </w:tc>
        <w:tc>
          <w:tcPr>
            <w:tcW w:type="dxa" w:w="1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w:t>
            </w:r>
          </w:p>
        </w:tc>
        <w:tc>
          <w:tcPr>
            <w:tcW w:type="dxa" w:w="9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Null</w:t>
            </w:r>
          </w:p>
        </w:tc>
        <w:tc>
          <w:tcPr>
            <w:tcW w:type="dxa" w:w="14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Clé</w:t>
            </w:r>
          </w:p>
        </w:tc>
        <w:tc>
          <w:tcPr>
            <w:tcW w:type="dxa" w:w="252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Contraintes</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id_equipe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PK/FK</w:t>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REFERENCES EQUIPE</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joues</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gagnes</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nuls</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perdus</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buts_pour</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r>
        <w:trPr>
          <w:tblHeader w:val="false"/>
        </w:trPr>
        <w:tc>
          <w:tcPr>
            <w:tcW w:type="dxa" w:w="2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buts_contre</w:t>
            </w:r>
          </w:p>
        </w:tc>
        <w:tc>
          <w:tcPr>
            <w:tcW w:type="dxa" w:w="1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r>
        <w:trPr>
          <w:tblHeader w:val="false"/>
        </w:trPr>
        <w:tc>
          <w:tcPr>
            <w:tcW w:type="dxa" w:w="2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bCs/>
                <w:sz w:val="17"/>
                <w:szCs w:val="17"/>
              </w:rPr>
              <w:t xml:space="preserve">points</w:t>
            </w:r>
          </w:p>
        </w:tc>
        <w:tc>
          <w:tcPr>
            <w:tcW w:type="dxa" w:w="1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SMALLINT</w:t>
            </w:r>
          </w:p>
        </w:tc>
        <w:tc>
          <w:tcPr>
            <w:tcW w:type="dxa" w:w="9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14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
            </w:r>
          </w:p>
        </w:tc>
        <w:tc>
          <w:tcPr>
            <w:tcW w:type="dxa" w:w="252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DEFAULT 0</w:t>
            </w:r>
          </w:p>
        </w:tc>
      </w:tr>
    </w:tbl>
    <w:p>
      <w:pPr>
        <w:spacing w:after="60"/>
      </w:pPr>
      <w:r>
        <w:rPr>
          <w:rFonts w:ascii="Arial" w:cs="Arial" w:eastAsia="Arial" w:hAnsi="Arial"/>
        </w:rPr>
        <w:t xml:space="preserve"/>
      </w:r>
    </w:p>
    <w:p>
      <w:pPr>
        <w:pStyle w:val="Heading2"/>
      </w:pPr>
      <w:r>
        <w:rPr>
          <w:rFonts w:ascii="Arial" w:cs="Arial" w:eastAsia="Arial" w:hAnsi="Arial"/>
        </w:rPr>
        <w:t xml:space="preserve">4.1 Script de création (extrait SQL)</w:t>
      </w:r>
    </w:p>
    <w:p>
      <w:pPr>
        <w:pBdr>
          <w:left w:val="single" w:color="1652F0" w:sz="12" w:space="8"/>
        </w:pBdr>
        <w:shd w:fill="F1F4F8" w:val="clear"/>
        <w:spacing w:after="140" w:before="60"/>
        <w:ind w:left="120"/>
      </w:pPr>
      <w:r>
        <w:rPr>
          <w:rFonts w:ascii="Consolas" w:cs="Consolas" w:eastAsia="Consolas" w:hAnsi="Consolas"/>
          <w:color w:val="0B1F3A"/>
          <w:sz w:val="16"/>
          <w:szCs w:val="16"/>
        </w:rPr>
        <w:t xml:space="preserve">CREATE TABLE GROUPE (</w:t>
        <w:br/>
        <w:t xml:space="preserve">  id_groupe INT PRIMARY KEY AUTO_INCREMENT,</w:t>
        <w:br/>
        <w:t xml:space="preserve">  libelle   VARCHAR(40) NOT NULL UNIQUE</w:t>
        <w:br/>
        <w:t xml:space="preserve">);</w:t>
        <w:br/>
        <w:t xml:space="preserve"/>
        <w:br/>
        <w:t xml:space="preserve">CREATE TABLE EQUIPE (</w:t>
        <w:br/>
        <w:t xml:space="preserve">  id_equipe     INT PRIMARY KEY AUTO_INCREMENT,</w:t>
        <w:br/>
        <w:t xml:space="preserve">  nom           VARCHAR(60) NOT NULL,</w:t>
        <w:br/>
        <w:t xml:space="preserve">  code          VARCHAR(3)  NOT NULL UNIQUE,</w:t>
        <w:br/>
        <w:t xml:space="preserve">  drapeau       VARCHAR(8),</w:t>
        <w:br/>
        <w:t xml:space="preserve">  confederation VARCHAR(20),</w:t>
        <w:br/>
        <w:t xml:space="preserve">  id_groupe     INT NOT NULL,</w:t>
        <w:br/>
        <w:t xml:space="preserve">  FOREIGN KEY (id_groupe) REFERENCES GROUPE(id_groupe)</w:t>
        <w:br/>
        <w:t xml:space="preserve">);</w:t>
        <w:br/>
        <w:t xml:space="preserve"/>
        <w:br/>
        <w:t xml:space="preserve">CREATE TABLE MATCH_ (</w:t>
        <w:br/>
        <w:t xml:space="preserve">  id_match      INT PRIMARY KEY AUTO_INCREMENT,</w:t>
        <w:br/>
        <w:t xml:space="preserve">  date_heure    DATETIME NOT NULL,</w:t>
        <w:br/>
        <w:t xml:space="preserve">  statut        VARCHAR(12) NOT NULL,</w:t>
        <w:br/>
        <w:t xml:space="preserve">  score_dom     SMALLINT CHECK (score_dom &gt;= 0),</w:t>
        <w:br/>
        <w:t xml:space="preserve">  score_ext     SMALLINT CHECK (score_ext &gt;= 0),</w:t>
        <w:br/>
        <w:t xml:space="preserve">  minute        SMALLINT,</w:t>
        <w:br/>
        <w:t xml:space="preserve">  id_phase      INT NOT NULL,</w:t>
        <w:br/>
        <w:t xml:space="preserve">  id_stade      INT NOT NULL,</w:t>
        <w:br/>
        <w:t xml:space="preserve">  id_equipe_dom INT NOT NULL,</w:t>
        <w:br/>
        <w:t xml:space="preserve">  id_equipe_ext INT NOT NULL,</w:t>
        <w:br/>
        <w:t xml:space="preserve">  id_groupe     INT,</w:t>
        <w:br/>
        <w:t xml:space="preserve">  FOREIGN KEY (id_phase)      REFERENCES PHASE(id_phase),</w:t>
        <w:br/>
        <w:t xml:space="preserve">  FOREIGN KEY (id_stade)      REFERENCES STADE(id_stade),</w:t>
        <w:br/>
        <w:t xml:space="preserve">  FOREIGN KEY (id_equipe_dom) REFERENCES EQUIPE(id_equipe),</w:t>
        <w:br/>
        <w:t xml:space="preserve">  FOREIGN KEY (id_equipe_ext) REFERENCES EQUIPE(id_equipe),</w:t>
        <w:br/>
        <w:t xml:space="preserve">  FOREIGN KEY (id_groupe)     REFERENCES GROUPE(id_groupe)</w:t>
        <w:br/>
        <w:t xml:space="preserve">);</w:t>
      </w:r>
    </w:p>
    <w:p>
      <w:pPr>
        <w:spacing w:after="140" w:line="276"/>
        <w:jc w:val="both"/>
      </w:pPr>
      <w:r>
        <w:rPr>
          <w:rFonts w:ascii="Arial" w:cs="Arial" w:eastAsia="Arial" w:hAnsi="Arial"/>
        </w:rPr>
        <w:t xml:space="preserve">Note : « MATCH » étant un mot réservé SQL, la table est nommée MATCH_ à l'implémentation. La sécurité de la base passe par des requêtes paramétrées (prévention des injections SQL) et une limitation des droits d'accès.</w:t>
      </w:r>
    </w:p>
    <w:p>
      <w:pPr>
        <w:pStyle w:val="Heading1"/>
      </w:pPr>
      <w:r>
        <w:rPr>
          <w:rFonts w:ascii="Arial" w:cs="Arial" w:eastAsia="Arial" w:hAnsi="Arial"/>
        </w:rPr>
        <w:t xml:space="preserve">5. Dictionnaire de données</w:t>
      </w:r>
    </w:p>
    <w:p>
      <w:pPr>
        <w:spacing w:after="140" w:line="276"/>
        <w:jc w:val="both"/>
      </w:pPr>
      <w:r>
        <w:rPr>
          <w:rFonts w:ascii="Arial" w:cs="Arial" w:eastAsia="Arial" w:hAnsi="Arial"/>
        </w:rPr>
        <w:t xml:space="preserve">Le dictionnaire de données décrit chaque donnée manipulée : entité, type, taille, contraintes, format et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250"/>
        <w:gridCol w:w="1300"/>
        <w:gridCol w:w="850"/>
        <w:gridCol w:w="3976"/>
      </w:tblGrid>
      <w:tr>
        <w:trPr>
          <w:tblHeader/>
        </w:trPr>
        <w:tc>
          <w:tcPr>
            <w:tcW w:type="dxa" w:w="165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Donnée</w:t>
            </w:r>
          </w:p>
        </w:tc>
        <w:tc>
          <w:tcPr>
            <w:tcW w:type="dxa" w:w="125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Entité</w:t>
            </w:r>
          </w:p>
        </w:tc>
        <w:tc>
          <w:tcPr>
            <w:tcW w:type="dxa" w:w="130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Type / Taille</w:t>
            </w:r>
          </w:p>
        </w:tc>
        <w:tc>
          <w:tcPr>
            <w:tcW w:type="dxa" w:w="850"/>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Oblig.</w:t>
            </w:r>
          </w:p>
        </w:tc>
        <w:tc>
          <w:tcPr>
            <w:tcW w:type="dxa" w:w="3976"/>
            <w:tcBorders>
              <w:top w:val="single" w:color="CCD5DF" w:sz="1"/>
              <w:left w:val="single" w:color="CCD5DF" w:sz="1"/>
              <w:bottom w:val="single" w:color="CCD5DF" w:sz="1"/>
              <w:right w:val="single" w:color="CCD5DF" w:sz="1"/>
            </w:tcBorders>
            <w:shd w:fill="0B1F3A" w:val="clear"/>
            <w:tcMar>
              <w:top w:type="dxa" w:w="50"/>
              <w:left w:type="dxa" w:w="90"/>
              <w:bottom w:type="dxa" w:w="50"/>
              <w:right w:type="dxa" w:w="90"/>
            </w:tcMar>
            <w:vAlign w:val="center"/>
          </w:tcPr>
          <w:p>
            <w:pPr>
              <w:jc w:val="left"/>
            </w:pPr>
            <w:r>
              <w:rPr>
                <w:rFonts w:ascii="Arial" w:cs="Arial" w:eastAsia="Arial" w:hAnsi="Arial"/>
                <w:b/>
                <w:bCs/>
                <w:color w:val="FFFFFF"/>
                <w:sz w:val="17"/>
                <w:szCs w:val="17"/>
              </w:rPr>
              <w:t xml:space="preserve">Description / Contraintes</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id_groupe</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GROUPE</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INT</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Identifiant du groupe (PK)</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libelle</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GROUPE</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VARCHAR(40)</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Libellé du groupe (A à L)</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id_phase</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PHASE</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INT</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Identifiant de la phase (PK)</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libelle</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PHASE</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VARCHAR(40)</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Nom de la phase (Groupes, 16es…)</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id_stade</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STADE</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INT</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Identifiant du stade (PK)</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nom</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STADE</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VARCHAR(80)</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Nom du stade</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ville</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STADE</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VARCHAR(60)</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Ville hôte</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id_equipe</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EQUIPE</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INT</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Identifiant de l'équipe (PK)</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nom</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EQUIPE</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VARCHAR(60)</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Nom de l'équipe</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code</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EQUIPE</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VARCHAR(3)</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Code à 3 lettres (FRA, BRA…), unique</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drapeau</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EQUIPE</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VARCHAR(8)</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Drapeau (emoji / code)</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confederation</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EQUIPE</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VARCHAR(20)</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Confédération (UEFA, CAF…)</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id_match</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MATCH</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INT</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Identifiant du match (PK)</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date_heure</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MATCH</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DATETIME</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Date et heure du coup d'envoi</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statut</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MATCH</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VARCHAR(12)</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a_venir | en_cours | termine</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score_dom</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MATCH</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SMALLINT</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Buts domicile, &gt;= 0</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score_ext</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MATCH</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SMALLINT</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Buts extérieur, &gt;= 0</w:t>
            </w:r>
          </w:p>
        </w:tc>
      </w:tr>
      <w:tr>
        <w:trPr>
          <w:tblHeader w:val="false"/>
        </w:trPr>
        <w:tc>
          <w:tcPr>
            <w:tcW w:type="dxa" w:w="16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minute</w:t>
            </w:r>
          </w:p>
        </w:tc>
        <w:tc>
          <w:tcPr>
            <w:tcW w:type="dxa" w:w="12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MATCH</w:t>
            </w:r>
          </w:p>
        </w:tc>
        <w:tc>
          <w:tcPr>
            <w:tcW w:type="dxa" w:w="130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SMALLINT</w:t>
            </w:r>
          </w:p>
        </w:tc>
        <w:tc>
          <w:tcPr>
            <w:tcW w:type="dxa" w:w="850"/>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Non</w:t>
            </w:r>
          </w:p>
        </w:tc>
        <w:tc>
          <w:tcPr>
            <w:tcW w:type="dxa" w:w="3976"/>
            <w:tcBorders>
              <w:top w:val="single" w:color="CCD5DF" w:sz="1"/>
              <w:left w:val="single" w:color="CCD5DF" w:sz="1"/>
              <w:bottom w:val="single" w:color="CCD5DF" w:sz="1"/>
              <w:right w:val="single" w:color="CCD5DF" w:sz="1"/>
            </w:tcBorders>
            <w:shd w:fill="F4F6F9" w:val="clear"/>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Minute de jeu (0 à 120)</w:t>
            </w:r>
          </w:p>
        </w:tc>
      </w:tr>
      <w:tr>
        <w:trPr>
          <w:tblHeader w:val="false"/>
        </w:trPr>
        <w:tc>
          <w:tcPr>
            <w:tcW w:type="dxa" w:w="16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Consolas" w:cs="Consolas" w:eastAsia="Consolas" w:hAnsi="Consolas"/>
                <w:b w:val="false"/>
                <w:bCs w:val="false"/>
                <w:sz w:val="17"/>
                <w:szCs w:val="17"/>
              </w:rPr>
              <w:t xml:space="preserve">points</w:t>
            </w:r>
          </w:p>
        </w:tc>
        <w:tc>
          <w:tcPr>
            <w:tcW w:type="dxa" w:w="12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CLASSEMENT</w:t>
            </w:r>
          </w:p>
        </w:tc>
        <w:tc>
          <w:tcPr>
            <w:tcW w:type="dxa" w:w="130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SMALLINT</w:t>
            </w:r>
          </w:p>
        </w:tc>
        <w:tc>
          <w:tcPr>
            <w:tcW w:type="dxa" w:w="850"/>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Oui</w:t>
            </w:r>
          </w:p>
        </w:tc>
        <w:tc>
          <w:tcPr>
            <w:tcW w:type="dxa" w:w="3976"/>
            <w:tcBorders>
              <w:top w:val="single" w:color="CCD5DF" w:sz="1"/>
              <w:left w:val="single" w:color="CCD5DF" w:sz="1"/>
              <w:bottom w:val="single" w:color="CCD5DF" w:sz="1"/>
              <w:right w:val="single" w:color="CCD5DF" w:sz="1"/>
            </w:tcBorders>
            <w:tcMar>
              <w:top w:type="dxa" w:w="50"/>
              <w:left w:type="dxa" w:w="90"/>
              <w:bottom w:type="dxa" w:w="50"/>
              <w:right w:type="dxa" w:w="90"/>
            </w:tcMar>
            <w:vAlign w:val="center"/>
          </w:tcPr>
          <w:p>
            <w:pPr>
              <w:jc w:val="left"/>
            </w:pPr>
            <w:r>
              <w:rPr>
                <w:rFonts w:ascii="Arial" w:cs="Arial" w:eastAsia="Arial" w:hAnsi="Arial"/>
                <w:b w:val="false"/>
                <w:bCs w:val="false"/>
                <w:sz w:val="17"/>
                <w:szCs w:val="17"/>
              </w:rPr>
              <w:t xml:space="preserve">Points cumulés (3 V, 1 N)</w:t>
            </w:r>
          </w:p>
        </w:tc>
      </w:tr>
    </w:tbl>
    <w:p>
      <w:pPr>
        <w:pStyle w:val="Heading1"/>
      </w:pPr>
      <w:r>
        <w:rPr>
          <w:rFonts w:ascii="Arial" w:cs="Arial" w:eastAsia="Arial" w:hAnsi="Arial"/>
        </w:rPr>
        <w:t xml:space="preserve">6. Conclusion</w:t>
      </w:r>
    </w:p>
    <w:p>
      <w:pPr>
        <w:spacing w:after="140" w:line="276"/>
        <w:jc w:val="both"/>
      </w:pPr>
      <w:r>
        <w:rPr>
          <w:rFonts w:ascii="Arial" w:cs="Arial" w:eastAsia="Arial" w:hAnsi="Arial"/>
        </w:rPr>
        <w:t xml:space="preserve">La conception MERISE fournit un schéma relationnel complet, normalisé et cohérent avec la conception UML et l'application. Le MCD décrit le métier, le MLD le traduit en tables avec clés, le MPD le rend implémentable et le dictionnaire documente chaque donnée. Ce schéma constitue la cible directement exploitable si l'application évolue vers une base de données réelle et un back-end.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C"/>
        <w:sz w:val="16"/>
        <w:szCs w:val="16"/>
      </w:rPr>
      <w:t xml:space="preserve">M1-DI — ENSITECH — 2025-2026   |   Page </w:t>
    </w:r>
    <w:r>
      <w:rPr>
        <w:rFonts w:ascii="Arial" w:cs="Arial" w:eastAsia="Arial" w:hAnsi="Arial"/>
        <w:color w:val="5C6B7C"/>
        <w:sz w:val="16"/>
        <w:szCs w:val="16"/>
      </w:rPr>
      <w:fldChar w:fldCharType="begin"/>
      <w:instrText xml:space="preserve">PAGE</w:instrText>
      <w:fldChar w:fldCharType="separate"/>
      <w:fldChar w:fldCharType="end"/>
    </w:r>
    <w:r>
      <w:rPr>
        <w:rFonts w:ascii="Arial" w:cs="Arial" w:eastAsia="Arial" w:hAnsi="Arial"/>
        <w:color w:val="5C6B7C"/>
        <w:sz w:val="16"/>
        <w:szCs w:val="16"/>
      </w:rPr>
      <w:t xml:space="preserve"> / </w:t>
    </w:r>
    <w:r>
      <w:rPr>
        <w:rFonts w:ascii="Arial" w:cs="Arial" w:eastAsia="Arial" w:hAnsi="Arial"/>
        <w:color w:val="5C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DF" w:sz="4" w:space="4"/>
      </w:pBdr>
      <w:tabs>
        <w:tab w:val="right" w:pos="9026"/>
      </w:tabs>
    </w:pPr>
    <w:r>
      <w:rPr>
        <w:rFonts w:ascii="Arial" w:cs="Arial" w:eastAsia="Arial" w:hAnsi="Arial"/>
        <w:color w:val="5C6B7C"/>
        <w:sz w:val="16"/>
        <w:szCs w:val="16"/>
      </w:rPr>
      <w:t xml:space="preserve">Coupe du Monde FIFA 2026 — Conception BDD (MERISE)</w:t>
    </w:r>
    <w:r>
      <w:rPr>
        <w:rFonts w:ascii="Arial" w:cs="Arial" w:eastAsia="Arial" w:hAnsi="Arial"/>
        <w:color w:val="5C6B7C"/>
        <w:sz w:val="16"/>
        <w:szCs w:val="16"/>
      </w:rPr>
      <w:t xml:space="preserve">	Islem Ben Hamida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652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52F0" w:sz="6" w:space="6"/>
      </w:pBdr>
      <w:spacing w:after="150" w:before="280"/>
      <w:outlineLvl w:val="0"/>
    </w:pPr>
    <w:rPr>
      <w:rFonts w:ascii="Arial" w:cs="Arial" w:eastAsia="Arial" w:hAnsi="Arial"/>
      <w:b/>
      <w:bCs/>
      <w:color w:val="0B1F3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52F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e7377b58804e59e63b83c029b05aeeab90b55b.png"/><Relationship Id="rId10" Type="http://schemas.openxmlformats.org/officeDocument/2006/relationships/image" Target="media/d41f9f9ca65c573fc123bd860a06bf7b23a9335a.png"/><Relationship Id="rId11" Type="http://schemas.openxmlformats.org/officeDocument/2006/relationships/fontTable" Target="fontTable.xml"/><Relationship Id="rId12" Type="http://schemas.openxmlformats.org/officeDocument/2006/relationships/image" Target="media/mpd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base de données (MERISE) — Coupe du Monde 2026</dc:title>
  <dc:creator>Islem Ben Hamida</dc:creator>
  <cp:lastModifiedBy>Un-named</cp:lastModifiedBy>
  <cp:revision>1</cp:revision>
  <dcterms:created xsi:type="dcterms:W3CDTF">2026-06-12T02:53:46.300Z</dcterms:created>
  <dcterms:modified xsi:type="dcterms:W3CDTF">2026-06-12T02:53:46.300Z</dcterms:modified>
</cp:coreProperties>
</file>

<file path=docProps/custom.xml><?xml version="1.0" encoding="utf-8"?>
<Properties xmlns="http://schemas.openxmlformats.org/officeDocument/2006/custom-properties" xmlns:vt="http://schemas.openxmlformats.org/officeDocument/2006/docPropsVTypes"/>
</file>