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5C6B7C"/>
          <w:spacing w:val="30"/>
          <w:sz w:val="22"/>
          <w:szCs w:val="22"/>
        </w:rPr>
        <w:t xml:space="preserve">GROUPE ENSUP — ENSITECH</w:t>
      </w:r>
    </w:p>
    <w:p>
      <w:pPr>
        <w:jc w:val="center"/>
      </w:pPr>
      <w:r>
        <w:rPr>
          <w:rFonts w:ascii="Arial" w:cs="Arial" w:eastAsia="Arial" w:hAnsi="Arial"/>
          <w:color w:val="5C6B7C"/>
          <w:sz w:val="18"/>
          <w:szCs w:val="18"/>
        </w:rPr>
        <w:t xml:space="preserve">École Nationale Supérieure de l'Informatique et des Technologies</w:t>
      </w:r>
    </w:p>
    <w:p>
      <w:pPr>
        <w:pBdr>
          <w:bottom w:val="single" w:color="1652F0" w:sz="8" w:space="8"/>
        </w:pBdr>
        <w:spacing w:after="360" w:before="120"/>
      </w:pPr>
      <w:r>
        <w:rPr>
          <w:rFonts w:ascii="Arial" w:cs="Arial" w:eastAsia="Arial" w:hAnsi="Arial"/>
        </w:rPr>
        <w:t xml:space="preserve"/>
      </w:r>
    </w:p>
    <w:p>
      <w:pPr>
        <w:spacing w:after="40"/>
        <w:jc w:val="center"/>
      </w:pPr>
      <w:r>
        <w:rPr>
          <w:rFonts w:ascii="Arial" w:cs="Arial" w:eastAsia="Arial" w:hAnsi="Arial"/>
          <w:b/>
          <w:bCs/>
          <w:color w:val="0B1F3A"/>
          <w:sz w:val="24"/>
          <w:szCs w:val="24"/>
        </w:rPr>
        <w:t xml:space="preserve">Master 1 — Développement &amp; Innovation (M1-DI)</w:t>
      </w:r>
    </w:p>
    <w:p>
      <w:pPr>
        <w:jc w:val="center"/>
      </w:pPr>
      <w:r>
        <w:rPr>
          <w:rFonts w:ascii="Arial" w:cs="Arial" w:eastAsia="Arial" w:hAnsi="Arial"/>
          <w:color w:val="5C6B7C"/>
          <w:sz w:val="18"/>
          <w:szCs w:val="18"/>
        </w:rPr>
        <w:t xml:space="preserve">Titre professionnel « Expert en Informatique et Système d'Information » (Niveau 7)</w:t>
      </w:r>
    </w:p>
    <w:p>
      <w:pPr>
        <w:spacing w:after="480"/>
        <w:jc w:val="center"/>
      </w:pPr>
      <w:r>
        <w:rPr>
          <w:rFonts w:ascii="Arial" w:cs="Arial" w:eastAsia="Arial" w:hAnsi="Arial"/>
          <w:i/>
          <w:iCs/>
          <w:color w:val="5C6B7C"/>
          <w:sz w:val="18"/>
          <w:szCs w:val="18"/>
        </w:rPr>
        <w:t xml:space="preserve">Examen partiel — Semestre 2 — Année 2025-2026</w:t>
      </w:r>
    </w:p>
    <w:p>
      <w:pPr>
        <w:spacing w:after="200"/>
        <w:jc w:val="center"/>
      </w:pPr>
      <w:r>
        <w:rPr>
          <w:rFonts w:ascii="Arial" w:cs="Arial" w:eastAsia="Arial" w:hAnsi="Arial"/>
          <w:b/>
          <w:bCs/>
          <w:color w:val="0B1F3A"/>
          <w:sz w:val="44"/>
          <w:szCs w:val="44"/>
        </w:rPr>
        <w:t xml:space="preserve">CAHIER DES CHARGES TECHNIQUE</w:t>
      </w:r>
    </w:p>
    <w:p>
      <w:pPr>
        <w:spacing w:after="520"/>
        <w:jc w:val="center"/>
      </w:pPr>
      <w:r>
        <w:rPr>
          <w:rFonts w:ascii="Arial" w:cs="Arial" w:eastAsia="Arial" w:hAnsi="Arial"/>
          <w:i/>
          <w:iCs/>
          <w:color w:val="5C6B7C"/>
          <w:sz w:val="22"/>
          <w:szCs w:val="22"/>
        </w:rPr>
        <w:t xml:space="preserve">Application de suivi de la Coupe du Monde de football FIFA 2026</w:t>
      </w:r>
    </w:p>
    <w:p>
      <w:pPr>
        <w:pBdr>
          <w:top w:val="single" w:color="CCD5DF" w:sz="6" w:space="10"/>
        </w:pBdr>
        <w:spacing w:after="60" w:before="120"/>
        <w:jc w:val="center"/>
      </w:pPr>
      <w:r>
        <w:rPr>
          <w:rFonts w:ascii="Arial" w:cs="Arial" w:eastAsia="Arial" w:hAnsi="Arial"/>
          <w:color w:val="5C6B7C"/>
          <w:sz w:val="18"/>
          <w:szCs w:val="18"/>
        </w:rPr>
        <w:t xml:space="preserve">Réalisé par</w:t>
      </w:r>
    </w:p>
    <w:p>
      <w:pPr>
        <w:spacing w:after="40"/>
        <w:jc w:val="center"/>
      </w:pPr>
      <w:r>
        <w:rPr>
          <w:rFonts w:ascii="Arial" w:cs="Arial" w:eastAsia="Arial" w:hAnsi="Arial"/>
          <w:b/>
          <w:bCs/>
          <w:color w:val="0B1F3A"/>
          <w:sz w:val="28"/>
          <w:szCs w:val="28"/>
        </w:rPr>
        <w:t xml:space="preserve">Islem BEN HAMIDA</w:t>
      </w:r>
    </w:p>
    <w:p>
      <w:pPr>
        <w:jc w:val="center"/>
      </w:pPr>
      <w:r>
        <w:rPr>
          <w:rFonts w:ascii="Arial" w:cs="Arial" w:eastAsia="Arial" w:hAnsi="Arial"/>
          <w:color w:val="5C6B7C"/>
          <w:sz w:val="18"/>
          <w:szCs w:val="18"/>
        </w:rPr>
        <w:t xml:space="preserve">Document individuel — Projet de binôme (2 étudiants)</w:t>
      </w:r>
    </w:p>
    <w:p>
      <w:r>
        <w:br w:type="page"/>
      </w:r>
    </w:p>
    <w:p>
      <w:pPr>
        <w:spacing w:after="160"/>
      </w:pPr>
      <w:r>
        <w:rPr>
          <w:rFonts w:ascii="Arial" w:cs="Arial" w:eastAsia="Arial" w:hAnsi="Arial"/>
          <w:b/>
          <w:bCs/>
          <w:color w:val="0B1F3A"/>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Introduction</w:t>
      </w:r>
    </w:p>
    <w:p>
      <w:pPr>
        <w:spacing w:after="140" w:line="276"/>
        <w:jc w:val="both"/>
      </w:pPr>
      <w:r>
        <w:rPr>
          <w:rFonts w:ascii="Arial" w:cs="Arial" w:eastAsia="Arial" w:hAnsi="Arial"/>
        </w:rPr>
        <w:t xml:space="preserve">Ce cahier des charges technique décrit les choix techniques retenus pour la réalisation de l'application de suivi de la Coupe du Monde FIFA 2026. Il fait suite à l'analyse des besoins et au cahier des charges fonctionnel, et précise les technologies employées, l'architecture générale, la gestion des données en temps réel et la prise en compte de la sécurité.</w:t>
      </w:r>
    </w:p>
    <w:p>
      <w:pPr>
        <w:spacing w:after="140" w:line="276"/>
        <w:jc w:val="both"/>
      </w:pPr>
      <w:r>
        <w:rPr>
          <w:rFonts w:ascii="Arial" w:cs="Arial" w:eastAsia="Arial" w:hAnsi="Arial"/>
        </w:rPr>
        <w:t xml:space="preserve">Les décisions présentées tiennent compte de deux contraintes majeures : un délai de réalisation de trois jours et une exigence de mise à jour des données en temps réel. Elles privilégient des solutions éprouvées, rapides à mettre en œuvre et maintenables, tout en restant ouvertes à une évolution vers un back-end réel.</w:t>
      </w:r>
    </w:p>
    <w:p>
      <w:pPr>
        <w:pStyle w:val="Heading1"/>
      </w:pPr>
      <w:r>
        <w:rPr>
          <w:rFonts w:ascii="Arial" w:cs="Arial" w:eastAsia="Arial" w:hAnsi="Arial"/>
        </w:rPr>
        <w:t xml:space="preserve">2. Choix technologiques</w:t>
      </w:r>
    </w:p>
    <w:p>
      <w:pPr>
        <w:pStyle w:val="Heading2"/>
      </w:pPr>
      <w:r>
        <w:rPr>
          <w:rFonts w:ascii="Arial" w:cs="Arial" w:eastAsia="Arial" w:hAnsi="Arial"/>
        </w:rPr>
        <w:t xml:space="preserve">2.1 Type d'application</w:t>
      </w:r>
    </w:p>
    <w:p>
      <w:pPr>
        <w:spacing w:after="140" w:line="276"/>
        <w:jc w:val="both"/>
      </w:pPr>
      <w:r>
        <w:rPr>
          <w:rFonts w:ascii="Arial" w:cs="Arial" w:eastAsia="Arial" w:hAnsi="Arial"/>
        </w:rPr>
        <w:t xml:space="preserve">Une application web de type SPA (Single Page Application) a été retenue. Elle est accessible depuis un navigateur, sans installation, aussi bien sur ordinateur que sur mobile (rendu responsive). Ce choix maximise l'accessibilité pour un public large et facilite la démonstration devant le jury, tout en restant réalisable dans le temps imparti.</w:t>
      </w:r>
    </w:p>
    <w:p>
      <w:pPr>
        <w:pStyle w:val="Heading2"/>
      </w:pPr>
      <w:r>
        <w:rPr>
          <w:rFonts w:ascii="Arial" w:cs="Arial" w:eastAsia="Arial" w:hAnsi="Arial"/>
        </w:rPr>
        <w:t xml:space="preserve">2.2 Front-end</w:t>
      </w:r>
    </w:p>
    <w:p>
      <w:pPr>
        <w:spacing w:after="140" w:line="276"/>
        <w:jc w:val="both"/>
      </w:pPr>
      <w:r>
        <w:rPr>
          <w:rFonts w:ascii="Arial" w:cs="Arial" w:eastAsia="Arial" w:hAnsi="Arial"/>
        </w:rPr>
        <w:t xml:space="preserve">Le front-end repose sur React. La logique par composants permet de réutiliser des éléments (carte de match, tableau de classement, fiche détaillée) et de séparer clairement l'affichage de la logique métier. La gestion d'état réactive (hooks) est particulièrement adaptée à l'actualisation automatique des scores : une mise à jour de l'état déclenche le rafraîchissement ciblé de l'interface, sans rechargement de page.</w:t>
      </w:r>
    </w:p>
    <w:p>
      <w:pPr>
        <w:pStyle w:val="Heading2"/>
      </w:pPr>
      <w:r>
        <w:rPr>
          <w:rFonts w:ascii="Arial" w:cs="Arial" w:eastAsia="Arial" w:hAnsi="Arial"/>
        </w:rPr>
        <w:t xml:space="preserve">2.3 Récupération des données (pas de back-end serveur)</w:t>
      </w:r>
    </w:p>
    <w:p>
      <w:pPr>
        <w:spacing w:after="140" w:line="276"/>
        <w:jc w:val="both"/>
      </w:pPr>
      <w:r>
        <w:rPr>
          <w:rFonts w:ascii="Arial" w:cs="Arial" w:eastAsia="Arial" w:hAnsi="Arial"/>
        </w:rPr>
        <w:t xml:space="preserve">Le projet ne comporte pas de back-end serveur dédié : il s'agit d'un choix assumé, explicitement autorisé par le sujet (« API simulée », « données mockées en temps réel »). La fourniture des données est assurée par une couche de service simulée, exécutée côté client, qui reproduit le comportement d'une API REST : latence de réponse, possibilité d'erreur et renvoi de données structurées.</w:t>
      </w:r>
    </w:p>
    <w:p>
      <w:pPr>
        <w:spacing w:after="140" w:line="276"/>
        <w:jc w:val="both"/>
      </w:pPr>
      <w:r>
        <w:rPr>
          <w:rFonts w:ascii="Arial" w:cs="Arial" w:eastAsia="Arial" w:hAnsi="Arial"/>
        </w:rPr>
        <w:t xml:space="preserve">Ce choix est justifié par le délai de trois jours et par les besoins de la démonstration : il garantit la maîtrise totale des scénarios (matchs en direct, scores qui évoluent) sans dépendre d'un service externe susceptible d'être indisponible. La couche de service est volontairement isolée du reste de l'application : l'ajout ultérieur d'un back-end réel se limiterait à remplacer l'implémentation de cette couche, sans modifier l'affichage ni l'architecture.</w:t>
      </w:r>
    </w:p>
    <w:p>
      <w:pPr>
        <w:pStyle w:val="Heading2"/>
      </w:pPr>
      <w:r>
        <w:rPr>
          <w:rFonts w:ascii="Arial" w:cs="Arial" w:eastAsia="Arial" w:hAnsi="Arial"/>
        </w:rPr>
        <w:t xml:space="preserve">2.4 Synthèse de la pile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CCD5DF" w:sz="1"/>
              <w:left w:val="single" w:color="CCD5DF" w:sz="1"/>
              <w:bottom w:val="single" w:color="CCD5DF" w:sz="1"/>
              <w:right w:val="single" w:color="CCD5DF" w:sz="1"/>
            </w:tcBorders>
            <w:shd w:fill="0B1F3A"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Couche</w:t>
            </w:r>
          </w:p>
        </w:tc>
        <w:tc>
          <w:tcPr>
            <w:tcW w:type="dxa" w:w="3400"/>
            <w:tcBorders>
              <w:top w:val="single" w:color="CCD5DF" w:sz="1"/>
              <w:left w:val="single" w:color="CCD5DF" w:sz="1"/>
              <w:bottom w:val="single" w:color="CCD5DF" w:sz="1"/>
              <w:right w:val="single" w:color="CCD5DF" w:sz="1"/>
            </w:tcBorders>
            <w:shd w:fill="0B1F3A"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Technologie retenue</w:t>
            </w:r>
          </w:p>
        </w:tc>
        <w:tc>
          <w:tcPr>
            <w:tcW w:type="dxa" w:w="3026"/>
            <w:tcBorders>
              <w:top w:val="single" w:color="CCD5DF" w:sz="1"/>
              <w:left w:val="single" w:color="CCD5DF" w:sz="1"/>
              <w:bottom w:val="single" w:color="CCD5DF" w:sz="1"/>
              <w:right w:val="single" w:color="CCD5DF" w:sz="1"/>
            </w:tcBorders>
            <w:shd w:fill="0B1F3A"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Justification</w:t>
            </w:r>
          </w:p>
        </w:tc>
      </w:tr>
      <w:tr>
        <w:trPr>
          <w:tblHeader w:val="false"/>
        </w:trPr>
        <w:tc>
          <w:tcPr>
            <w:tcW w:type="dxa" w:w="26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bCs/>
                <w:sz w:val="20"/>
                <w:szCs w:val="20"/>
              </w:rPr>
              <w:t xml:space="preserve">Type d'application</w:t>
            </w:r>
          </w:p>
        </w:tc>
        <w:tc>
          <w:tcPr>
            <w:tcW w:type="dxa" w:w="34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Application web (SPA)</w:t>
            </w:r>
          </w:p>
        </w:tc>
        <w:tc>
          <w:tcPr>
            <w:tcW w:type="dxa" w:w="3026"/>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Accessible sans installation, multiplateforme, rapide à développer et à démontrer.</w:t>
            </w:r>
          </w:p>
        </w:tc>
      </w:tr>
      <w:tr>
        <w:trPr>
          <w:tblHeader w:val="false"/>
        </w:trPr>
        <w:tc>
          <w:tcPr>
            <w:tcW w:type="dxa" w:w="26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bCs/>
                <w:sz w:val="20"/>
                <w:szCs w:val="20"/>
              </w:rPr>
              <w:t xml:space="preserve">Front-end</w:t>
            </w:r>
          </w:p>
        </w:tc>
        <w:tc>
          <w:tcPr>
            <w:tcW w:type="dxa" w:w="34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React (JavaScript)</w:t>
            </w:r>
          </w:p>
        </w:tc>
        <w:tc>
          <w:tcPr>
            <w:tcW w:type="dxa" w:w="3026"/>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Composants réutilisables, gestion d'état réactive adaptée à l'actualisation en temps réel.</w:t>
            </w:r>
          </w:p>
        </w:tc>
      </w:tr>
      <w:tr>
        <w:trPr>
          <w:tblHeader w:val="false"/>
        </w:trPr>
        <w:tc>
          <w:tcPr>
            <w:tcW w:type="dxa" w:w="26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bCs/>
                <w:sz w:val="20"/>
                <w:szCs w:val="20"/>
              </w:rPr>
              <w:t xml:space="preserve">Mise en forme</w:t>
            </w:r>
          </w:p>
        </w:tc>
        <w:tc>
          <w:tcPr>
            <w:tcW w:type="dxa" w:w="34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CSS (charte dédiée)</w:t>
            </w:r>
          </w:p>
        </w:tc>
        <w:tc>
          <w:tcPr>
            <w:tcW w:type="dxa" w:w="3026"/>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Contrôle fin de la lisibilité et de l'identité visuelle, sans dépendance lourde.</w:t>
            </w:r>
          </w:p>
        </w:tc>
      </w:tr>
      <w:tr>
        <w:trPr>
          <w:tblHeader w:val="false"/>
        </w:trPr>
        <w:tc>
          <w:tcPr>
            <w:tcW w:type="dxa" w:w="26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bCs/>
                <w:sz w:val="20"/>
                <w:szCs w:val="20"/>
              </w:rPr>
              <w:t xml:space="preserve">Données</w:t>
            </w:r>
          </w:p>
        </w:tc>
        <w:tc>
          <w:tcPr>
            <w:tcW w:type="dxa" w:w="34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API simulée + données mockées</w:t>
            </w:r>
          </w:p>
        </w:tc>
        <w:tc>
          <w:tcPr>
            <w:tcW w:type="dxa" w:w="3026"/>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Indépendance vis-à-vis d'une API officielle, maîtrise totale des scénarios de démonstration.</w:t>
            </w:r>
          </w:p>
        </w:tc>
      </w:tr>
      <w:tr>
        <w:trPr>
          <w:tblHeader w:val="false"/>
        </w:trPr>
        <w:tc>
          <w:tcPr>
            <w:tcW w:type="dxa" w:w="26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bCs/>
                <w:sz w:val="20"/>
                <w:szCs w:val="20"/>
              </w:rPr>
              <w:t xml:space="preserve">Back-end serveur</w:t>
            </w:r>
          </w:p>
        </w:tc>
        <w:tc>
          <w:tcPr>
            <w:tcW w:type="dxa" w:w="34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Non retenu (hors périmètre)</w:t>
            </w:r>
          </w:p>
        </w:tc>
        <w:tc>
          <w:tcPr>
            <w:tcW w:type="dxa" w:w="3026"/>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Choix assumé et autorisé par le sujet ; couche service simulée côté client suffisante dans le délai.</w:t>
            </w:r>
          </w:p>
        </w:tc>
      </w:tr>
      <w:tr>
        <w:trPr>
          <w:tblHeader w:val="false"/>
        </w:trPr>
        <w:tc>
          <w:tcPr>
            <w:tcW w:type="dxa" w:w="26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bCs/>
                <w:sz w:val="20"/>
                <w:szCs w:val="20"/>
              </w:rPr>
              <w:t xml:space="preserve">Temps réel</w:t>
            </w:r>
          </w:p>
        </w:tc>
        <w:tc>
          <w:tcPr>
            <w:tcW w:type="dxa" w:w="34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Polling (intervalle)</w:t>
            </w:r>
          </w:p>
        </w:tc>
        <w:tc>
          <w:tcPr>
            <w:tcW w:type="dxa" w:w="3026"/>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Simple à mettre en œuvre dans le délai, remplaçable par WebSocket sans toucher l'affichage.</w:t>
            </w:r>
          </w:p>
        </w:tc>
      </w:tr>
      <w:tr>
        <w:trPr>
          <w:tblHeader w:val="false"/>
        </w:trPr>
        <w:tc>
          <w:tcPr>
            <w:tcW w:type="dxa" w:w="26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bCs/>
                <w:sz w:val="20"/>
                <w:szCs w:val="20"/>
              </w:rPr>
              <w:t xml:space="preserve">Versionnement</w:t>
            </w:r>
          </w:p>
        </w:tc>
        <w:tc>
          <w:tcPr>
            <w:tcW w:type="dxa" w:w="34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Git (GitHub / GitLab)</w:t>
            </w:r>
          </w:p>
        </w:tc>
        <w:tc>
          <w:tcPr>
            <w:tcW w:type="dxa" w:w="3026"/>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Travail collaboratif, traçabilité des commits, organisation par branches.</w:t>
            </w:r>
          </w:p>
        </w:tc>
      </w:tr>
    </w:tbl>
    <w:p>
      <w:pPr>
        <w:spacing w:after="120"/>
      </w:pPr>
      <w:r>
        <w:rPr>
          <w:rFonts w:ascii="Arial" w:cs="Arial" w:eastAsia="Arial" w:hAnsi="Arial"/>
        </w:rPr>
        <w:t xml:space="preserve"/>
      </w:r>
    </w:p>
    <w:p>
      <w:pPr>
        <w:spacing w:after="140" w:line="276"/>
        <w:jc w:val="both"/>
      </w:pPr>
      <w:r>
        <w:rPr>
          <w:rFonts w:ascii="Arial" w:cs="Arial" w:eastAsia="Arial" w:hAnsi="Arial"/>
        </w:rPr>
        <w:t xml:space="preserve">Ces choix sont volontairement sobres : ils réduisent le temps d'intégration et le risque technique, ce qui est cohérent avec un projet de trois jours et une priorisation des fonctionnalités essentielles.</w:t>
      </w:r>
    </w:p>
    <w:p>
      <w:pPr>
        <w:pStyle w:val="Heading1"/>
      </w:pPr>
      <w:r>
        <w:rPr>
          <w:rFonts w:ascii="Arial" w:cs="Arial" w:eastAsia="Arial" w:hAnsi="Arial"/>
        </w:rPr>
        <w:t xml:space="preserve">3. Architecture générale</w:t>
      </w:r>
    </w:p>
    <w:p>
      <w:pPr>
        <w:pStyle w:val="Heading2"/>
      </w:pPr>
      <w:r>
        <w:rPr>
          <w:rFonts w:ascii="Arial" w:cs="Arial" w:eastAsia="Arial" w:hAnsi="Arial"/>
        </w:rPr>
        <w:t xml:space="preserve">3.1 Vue d'ensemble</w:t>
      </w:r>
    </w:p>
    <w:p>
      <w:pPr>
        <w:spacing w:after="140" w:line="276"/>
        <w:jc w:val="both"/>
      </w:pPr>
      <w:r>
        <w:rPr>
          <w:rFonts w:ascii="Arial" w:cs="Arial" w:eastAsia="Arial" w:hAnsi="Arial"/>
        </w:rPr>
        <w:t xml:space="preserve">L'application suit une architecture en couches, organisée autour d'une séparation nette des responsabilités :</w:t>
      </w:r>
    </w:p>
    <w:p>
      <w:pPr>
        <w:pStyle w:val="ListParagraph"/>
        <w:numPr>
          <w:ilvl w:val="0"/>
          <w:numId w:val="2"/>
        </w:numPr>
        <w:spacing w:after="60" w:line="268"/>
      </w:pPr>
      <w:r>
        <w:rPr>
          <w:rFonts w:ascii="Arial" w:cs="Arial" w:eastAsia="Arial" w:hAnsi="Arial"/>
          <w:b/>
          <w:bCs/>
        </w:rPr>
        <w:t xml:space="preserve">Couche présentation (UI). </w:t>
      </w:r>
      <w:r>
        <w:rPr>
          <w:rFonts w:ascii="Arial" w:cs="Arial" w:eastAsia="Arial" w:hAnsi="Arial"/>
        </w:rPr>
        <w:t xml:space="preserve">Composants React d'affichage (cartes de match, classements, bracket, fiche détaillée, états de chargement/erreur).</w:t>
      </w:r>
    </w:p>
    <w:p>
      <w:pPr>
        <w:pStyle w:val="ListParagraph"/>
        <w:numPr>
          <w:ilvl w:val="0"/>
          <w:numId w:val="2"/>
        </w:numPr>
        <w:spacing w:after="60" w:line="268"/>
      </w:pPr>
      <w:r>
        <w:rPr>
          <w:rFonts w:ascii="Arial" w:cs="Arial" w:eastAsia="Arial" w:hAnsi="Arial"/>
          <w:b/>
          <w:bCs/>
        </w:rPr>
        <w:t xml:space="preserve">Couche logique applicative. </w:t>
      </w:r>
      <w:r>
        <w:rPr>
          <w:rFonts w:ascii="Arial" w:cs="Arial" w:eastAsia="Arial" w:hAnsi="Arial"/>
        </w:rPr>
        <w:t xml:space="preserve">Calcul des classements, sélection du match vedette, moteur de mise à jour temps réel, filtrage par phase et par groupe.</w:t>
      </w:r>
    </w:p>
    <w:p>
      <w:pPr>
        <w:pStyle w:val="ListParagraph"/>
        <w:numPr>
          <w:ilvl w:val="0"/>
          <w:numId w:val="2"/>
        </w:numPr>
        <w:spacing w:after="60" w:line="268"/>
      </w:pPr>
      <w:r>
        <w:rPr>
          <w:rFonts w:ascii="Arial" w:cs="Arial" w:eastAsia="Arial" w:hAnsi="Arial"/>
          <w:b/>
          <w:bCs/>
        </w:rPr>
        <w:t xml:space="preserve">Couche service / données. </w:t>
      </w:r>
      <w:r>
        <w:rPr>
          <w:rFonts w:ascii="Arial" w:cs="Arial" w:eastAsia="Arial" w:hAnsi="Arial"/>
        </w:rPr>
        <w:t xml:space="preserve">API simulée exécutée côté client (sans serveur), fournissant les matchs et leurs mises à jour ; point d'entrée unique vers les données.</w:t>
      </w:r>
    </w:p>
    <w:p>
      <w:pPr>
        <w:spacing w:after="140" w:line="276"/>
        <w:jc w:val="both"/>
      </w:pPr>
      <w:r>
        <w:rPr>
          <w:rFonts w:ascii="Arial" w:cs="Arial" w:eastAsia="Arial" w:hAnsi="Arial"/>
        </w:rPr>
        <w:t xml:space="preserve">Le flux est unidirectionnel : la couche service fournit les données, la logique applicative les transforme, et la présentation les affiche. Toute mise à jour des données se propage automatiquement à l'interface.</w:t>
      </w:r>
    </w:p>
    <w:p>
      <w:pPr>
        <w:pStyle w:val="Heading2"/>
      </w:pPr>
      <w:r>
        <w:rPr>
          <w:rFonts w:ascii="Arial" w:cs="Arial" w:eastAsia="Arial" w:hAnsi="Arial"/>
        </w:rPr>
        <w:t xml:space="preserve">3.2 Structuration du code</w:t>
      </w:r>
    </w:p>
    <w:p>
      <w:pPr>
        <w:spacing w:after="140" w:line="276"/>
        <w:jc w:val="both"/>
      </w:pPr>
      <w:r>
        <w:rPr>
          <w:rFonts w:ascii="Arial" w:cs="Arial" w:eastAsia="Arial" w:hAnsi="Arial"/>
        </w:rPr>
        <w:t xml:space="preserve">Le code est organisé pour rester lisible et maintenable :</w:t>
      </w:r>
    </w:p>
    <w:p>
      <w:pPr>
        <w:pStyle w:val="ListParagraph"/>
        <w:numPr>
          <w:ilvl w:val="0"/>
          <w:numId w:val="2"/>
        </w:numPr>
        <w:spacing w:after="60" w:line="268"/>
      </w:pPr>
      <w:r>
        <w:rPr>
          <w:rFonts w:ascii="Arial" w:cs="Arial" w:eastAsia="Arial" w:hAnsi="Arial"/>
        </w:rPr>
        <w:t xml:space="preserve">Données et modèle (équipes, groupes, stades, génération des matchs) regroupés et isolés ;</w:t>
      </w:r>
    </w:p>
    <w:p>
      <w:pPr>
        <w:pStyle w:val="ListParagraph"/>
        <w:numPr>
          <w:ilvl w:val="0"/>
          <w:numId w:val="2"/>
        </w:numPr>
        <w:spacing w:after="60" w:line="268"/>
      </w:pPr>
      <w:r>
        <w:rPr>
          <w:rFonts w:ascii="Arial" w:cs="Arial" w:eastAsia="Arial" w:hAnsi="Arial"/>
        </w:rPr>
        <w:t xml:space="preserve">Couche service exposant des fonctions claires (par exemple la récupération de la liste des matchs) ;</w:t>
      </w:r>
    </w:p>
    <w:p>
      <w:pPr>
        <w:pStyle w:val="ListParagraph"/>
        <w:numPr>
          <w:ilvl w:val="0"/>
          <w:numId w:val="2"/>
        </w:numPr>
        <w:spacing w:after="60" w:line="268"/>
      </w:pPr>
      <w:r>
        <w:rPr>
          <w:rFonts w:ascii="Arial" w:cs="Arial" w:eastAsia="Arial" w:hAnsi="Arial"/>
        </w:rPr>
        <w:t xml:space="preserve">Logique temps réel encapsulée dans un module dédié (hook) ;</w:t>
      </w:r>
    </w:p>
    <w:p>
      <w:pPr>
        <w:pStyle w:val="ListParagraph"/>
        <w:numPr>
          <w:ilvl w:val="0"/>
          <w:numId w:val="2"/>
        </w:numPr>
        <w:spacing w:after="60" w:line="268"/>
      </w:pPr>
      <w:r>
        <w:rPr>
          <w:rFonts w:ascii="Arial" w:cs="Arial" w:eastAsia="Arial" w:hAnsi="Arial"/>
        </w:rPr>
        <w:t xml:space="preserve">Composants d'affichage purs, sans accès direct aux données ;</w:t>
      </w:r>
    </w:p>
    <w:p>
      <w:pPr>
        <w:pStyle w:val="ListParagraph"/>
        <w:numPr>
          <w:ilvl w:val="0"/>
          <w:numId w:val="2"/>
        </w:numPr>
        <w:spacing w:after="60" w:line="268"/>
      </w:pPr>
      <w:r>
        <w:rPr>
          <w:rFonts w:ascii="Arial" w:cs="Arial" w:eastAsia="Arial" w:hAnsi="Arial"/>
        </w:rPr>
        <w:t xml:space="preserve">Séparation stricte de la logique métier et de la présentation.</w:t>
      </w:r>
    </w:p>
    <w:p>
      <w:pPr>
        <w:pStyle w:val="Heading2"/>
      </w:pPr>
      <w:r>
        <w:rPr>
          <w:rFonts w:ascii="Arial" w:cs="Arial" w:eastAsia="Arial" w:hAnsi="Arial"/>
        </w:rPr>
        <w:t xml:space="preserve">3.3 Gestion du temps réel</w:t>
      </w:r>
    </w:p>
    <w:p>
      <w:pPr>
        <w:spacing w:after="140" w:line="276"/>
        <w:jc w:val="both"/>
      </w:pPr>
      <w:r>
        <w:rPr>
          <w:rFonts w:ascii="Arial" w:cs="Arial" w:eastAsia="Arial" w:hAnsi="Arial"/>
        </w:rPr>
        <w:t xml:space="preserve">La mise à jour des scores et statuts repose sur un mécanisme de polling : à intervalle régulier, l'application réévalue les matchs en cours, fait évoluer la minute de jeu et le score, puis bascule le statut en « terminé » en fin de rencontre. Un horodatage signale la dernière actualisation.</w:t>
      </w:r>
    </w:p>
    <w:p>
      <w:pPr>
        <w:spacing w:after="140" w:line="276"/>
        <w:jc w:val="both"/>
      </w:pPr>
      <w:r>
        <w:rPr>
          <w:rFonts w:ascii="Arial" w:cs="Arial" w:eastAsia="Arial" w:hAnsi="Arial"/>
        </w:rPr>
        <w:t xml:space="preserve">Ce choix est justifié par sa simplicité et sa robustesse dans le délai imparti. L'architecture a toutefois été pensée pour permettre une évolution vers une communication par WebSocket (flux poussé par le serveur) : la couche présentation consommant déjà un état réactif, seul le mécanisme d'alimentation de cet état serait à remplacer.</w:t>
      </w:r>
    </w:p>
    <w:p>
      <w:pPr>
        <w:pStyle w:val="Heading2"/>
      </w:pPr>
      <w:r>
        <w:rPr>
          <w:rFonts w:ascii="Arial" w:cs="Arial" w:eastAsia="Arial" w:hAnsi="Arial"/>
        </w:rPr>
        <w:t xml:space="preserve">3.4 Modèle de données (vue technique)</w:t>
      </w:r>
    </w:p>
    <w:p>
      <w:pPr>
        <w:spacing w:after="140" w:line="276"/>
        <w:jc w:val="both"/>
      </w:pPr>
      <w:r>
        <w:rPr>
          <w:rFonts w:ascii="Arial" w:cs="Arial" w:eastAsia="Arial" w:hAnsi="Arial"/>
        </w:rPr>
        <w:t xml:space="preserve">Les entités manipulées sont principalement : l'équipe (nom, drapeau, confédération), le groupe (lettre, équipes), le match (équipes, phase, groupe, date, stade, ville, score, statut, minute) et la phase de compétition. Ce modèle sera détaillé dans les livrables de conception (UML et MERISE) et la base de données relationnelle associée.</w:t>
      </w:r>
    </w:p>
    <w:p>
      <w:pPr>
        <w:pStyle w:val="Heading1"/>
      </w:pPr>
      <w:r>
        <w:rPr>
          <w:rFonts w:ascii="Arial" w:cs="Arial" w:eastAsia="Arial" w:hAnsi="Arial"/>
        </w:rPr>
        <w:t xml:space="preserve">4. Prise en compte de la sécurité</w:t>
      </w:r>
    </w:p>
    <w:p>
      <w:pPr>
        <w:spacing w:after="140" w:line="276"/>
        <w:jc w:val="both"/>
      </w:pPr>
      <w:r>
        <w:rPr>
          <w:rFonts w:ascii="Arial" w:cs="Arial" w:eastAsia="Arial" w:hAnsi="Arial"/>
        </w:rPr>
        <w:t xml:space="preserve">Même dans le cadre d'un mini-projet, la sécurité est prise en compte dès la conception. L'objectif n'est pas une sécurité avancée, mais une réflexion cohérente et l'application de principes fondamentaux adaptés à une application réelle.</w:t>
      </w:r>
    </w:p>
    <w:p>
      <w:pPr>
        <w:pStyle w:val="Heading2"/>
      </w:pPr>
      <w:r>
        <w:rPr>
          <w:rFonts w:ascii="Arial" w:cs="Arial" w:eastAsia="Arial" w:hAnsi="Arial"/>
        </w:rPr>
        <w:t xml:space="preserve">4.1 Données manipulées</w:t>
      </w:r>
    </w:p>
    <w:p>
      <w:pPr>
        <w:spacing w:after="140" w:line="276"/>
        <w:jc w:val="both"/>
      </w:pPr>
      <w:r>
        <w:rPr>
          <w:rFonts w:ascii="Arial" w:cs="Arial" w:eastAsia="Arial" w:hAnsi="Arial"/>
        </w:rPr>
        <w:t xml:space="preserve">L'application manipule essentiellement des données publiques : informations de matchs (équipes, dates, stades), scores et statuts, et données de classement calculées. Aucune donnée personnelle sensible n'est collectée, ce qui limite la surface de risque.</w:t>
      </w:r>
    </w:p>
    <w:p>
      <w:pPr>
        <w:pStyle w:val="Heading2"/>
      </w:pPr>
      <w:r>
        <w:rPr>
          <w:rFonts w:ascii="Arial" w:cs="Arial" w:eastAsia="Arial" w:hAnsi="Arial"/>
        </w:rPr>
        <w:t xml:space="preserve">4.2 Risques identifiés et mesures</w:t>
      </w:r>
    </w:p>
    <w:p>
      <w:pPr>
        <w:spacing w:after="140" w:line="276"/>
        <w:jc w:val="both"/>
      </w:pPr>
      <w:r>
        <w:rPr>
          <w:rFonts w:ascii="Arial" w:cs="Arial" w:eastAsia="Arial" w:hAnsi="Arial"/>
        </w:rPr>
        <w:t xml:space="preserve">Les principaux risques et les mesures associées sont synthétisés ci-dessous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3526"/>
      </w:tblGrid>
      <w:tr>
        <w:trPr>
          <w:tblHeader/>
        </w:trPr>
        <w:tc>
          <w:tcPr>
            <w:tcW w:type="dxa" w:w="3200"/>
            <w:tcBorders>
              <w:top w:val="single" w:color="CCD5DF" w:sz="1"/>
              <w:left w:val="single" w:color="CCD5DF" w:sz="1"/>
              <w:bottom w:val="single" w:color="CCD5DF" w:sz="1"/>
              <w:right w:val="single" w:color="CCD5DF" w:sz="1"/>
            </w:tcBorders>
            <w:shd w:fill="0B1F3A"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Risque</w:t>
            </w:r>
          </w:p>
        </w:tc>
        <w:tc>
          <w:tcPr>
            <w:tcW w:type="dxa" w:w="2300"/>
            <w:tcBorders>
              <w:top w:val="single" w:color="CCD5DF" w:sz="1"/>
              <w:left w:val="single" w:color="CCD5DF" w:sz="1"/>
              <w:bottom w:val="single" w:color="CCD5DF" w:sz="1"/>
              <w:right w:val="single" w:color="CCD5DF" w:sz="1"/>
            </w:tcBorders>
            <w:shd w:fill="0B1F3A"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Niveau</w:t>
            </w:r>
          </w:p>
        </w:tc>
        <w:tc>
          <w:tcPr>
            <w:tcW w:type="dxa" w:w="3526"/>
            <w:tcBorders>
              <w:top w:val="single" w:color="CCD5DF" w:sz="1"/>
              <w:left w:val="single" w:color="CCD5DF" w:sz="1"/>
              <w:bottom w:val="single" w:color="CCD5DF" w:sz="1"/>
              <w:right w:val="single" w:color="CCD5DF" w:sz="1"/>
            </w:tcBorders>
            <w:shd w:fill="0B1F3A"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Mesure mise en place</w:t>
            </w:r>
          </w:p>
        </w:tc>
      </w:tr>
      <w:tr>
        <w:trPr>
          <w:tblHeader w:val="false"/>
        </w:trPr>
        <w:tc>
          <w:tcPr>
            <w:tcW w:type="dxa" w:w="32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bCs/>
                <w:sz w:val="20"/>
                <w:szCs w:val="20"/>
              </w:rPr>
              <w:t xml:space="preserve">Exposition de clés d'API côté client</w:t>
            </w:r>
          </w:p>
        </w:tc>
        <w:tc>
          <w:tcPr>
            <w:tcW w:type="dxa" w:w="23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Élevé</w:t>
            </w:r>
          </w:p>
        </w:tc>
        <w:tc>
          <w:tcPr>
            <w:tcW w:type="dxa" w:w="3526"/>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Aucune clé secrète dans le code client ; appels via la couche service / un back-end.</w:t>
            </w:r>
          </w:p>
        </w:tc>
      </w:tr>
      <w:tr>
        <w:trPr>
          <w:tblHeader w:val="false"/>
        </w:trPr>
        <w:tc>
          <w:tcPr>
            <w:tcW w:type="dxa" w:w="32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bCs/>
                <w:sz w:val="20"/>
                <w:szCs w:val="20"/>
              </w:rPr>
              <w:t xml:space="preserve">Données non contrôlées affichées</w:t>
            </w:r>
          </w:p>
        </w:tc>
        <w:tc>
          <w:tcPr>
            <w:tcW w:type="dxa" w:w="23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Moyen</w:t>
            </w:r>
          </w:p>
        </w:tc>
        <w:tc>
          <w:tcPr>
            <w:tcW w:type="dxa" w:w="3526"/>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Validation et contrôle des données reçues avant affichage.</w:t>
            </w:r>
          </w:p>
        </w:tc>
      </w:tr>
      <w:tr>
        <w:trPr>
          <w:tblHeader w:val="false"/>
        </w:trPr>
        <w:tc>
          <w:tcPr>
            <w:tcW w:type="dxa" w:w="32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bCs/>
                <w:sz w:val="20"/>
                <w:szCs w:val="20"/>
              </w:rPr>
              <w:t xml:space="preserve">Injection côté client (XSS basique)</w:t>
            </w:r>
          </w:p>
        </w:tc>
        <w:tc>
          <w:tcPr>
            <w:tcW w:type="dxa" w:w="23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Moyen</w:t>
            </w:r>
          </w:p>
        </w:tc>
        <w:tc>
          <w:tcPr>
            <w:tcW w:type="dxa" w:w="3526"/>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Rendu maîtrisé par le framework, pas d'injection de HTML brut non filtré.</w:t>
            </w:r>
          </w:p>
        </w:tc>
      </w:tr>
      <w:tr>
        <w:trPr>
          <w:tblHeader w:val="false"/>
        </w:trPr>
        <w:tc>
          <w:tcPr>
            <w:tcW w:type="dxa" w:w="32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bCs/>
                <w:sz w:val="20"/>
                <w:szCs w:val="20"/>
              </w:rPr>
              <w:t xml:space="preserve">Transport non sécurisé</w:t>
            </w:r>
          </w:p>
        </w:tc>
        <w:tc>
          <w:tcPr>
            <w:tcW w:type="dxa" w:w="23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Élevé</w:t>
            </w:r>
          </w:p>
        </w:tc>
        <w:tc>
          <w:tcPr>
            <w:tcW w:type="dxa" w:w="3526"/>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Communications en HTTPS.</w:t>
            </w:r>
          </w:p>
        </w:tc>
      </w:tr>
      <w:tr>
        <w:trPr>
          <w:tblHeader w:val="false"/>
        </w:trPr>
        <w:tc>
          <w:tcPr>
            <w:tcW w:type="dxa" w:w="32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bCs/>
                <w:sz w:val="20"/>
                <w:szCs w:val="20"/>
              </w:rPr>
              <w:t xml:space="preserve">Divulgation d'informations via erreurs</w:t>
            </w:r>
          </w:p>
        </w:tc>
        <w:tc>
          <w:tcPr>
            <w:tcW w:type="dxa" w:w="23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Faible</w:t>
            </w:r>
          </w:p>
        </w:tc>
        <w:tc>
          <w:tcPr>
            <w:tcW w:type="dxa" w:w="3526"/>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Gestion propre des erreurs, messages génériques côté utilisateur.</w:t>
            </w:r>
          </w:p>
        </w:tc>
      </w:tr>
    </w:tbl>
    <w:p>
      <w:pPr>
        <w:spacing w:after="120"/>
      </w:pPr>
      <w:r>
        <w:rPr>
          <w:rFonts w:ascii="Arial" w:cs="Arial" w:eastAsia="Arial" w:hAnsi="Arial"/>
        </w:rPr>
        <w:t xml:space="preserve"/>
      </w:r>
    </w:p>
    <w:p>
      <w:pPr>
        <w:pStyle w:val="Heading2"/>
      </w:pPr>
      <w:r>
        <w:rPr>
          <w:rFonts w:ascii="Arial" w:cs="Arial" w:eastAsia="Arial" w:hAnsi="Arial"/>
        </w:rPr>
        <w:t xml:space="preserve">4.3 Bonnes pratiques retenues</w:t>
      </w:r>
    </w:p>
    <w:p>
      <w:pPr>
        <w:pStyle w:val="ListParagraph"/>
        <w:numPr>
          <w:ilvl w:val="0"/>
          <w:numId w:val="2"/>
        </w:numPr>
        <w:spacing w:after="60" w:line="268"/>
      </w:pPr>
      <w:r>
        <w:rPr>
          <w:rFonts w:ascii="Arial" w:cs="Arial" w:eastAsia="Arial" w:hAnsi="Arial"/>
        </w:rPr>
        <w:t xml:space="preserve">Communications sécurisées (HTTPS) ;</w:t>
      </w:r>
    </w:p>
    <w:p>
      <w:pPr>
        <w:pStyle w:val="ListParagraph"/>
        <w:numPr>
          <w:ilvl w:val="0"/>
          <w:numId w:val="2"/>
        </w:numPr>
        <w:spacing w:after="60" w:line="268"/>
      </w:pPr>
      <w:r>
        <w:rPr>
          <w:rFonts w:ascii="Arial" w:cs="Arial" w:eastAsia="Arial" w:hAnsi="Arial"/>
        </w:rPr>
        <w:t xml:space="preserve">Aucune clé d'API ou secret exposé dans le code client ;</w:t>
      </w:r>
    </w:p>
    <w:p>
      <w:pPr>
        <w:pStyle w:val="ListParagraph"/>
        <w:numPr>
          <w:ilvl w:val="0"/>
          <w:numId w:val="2"/>
        </w:numPr>
        <w:spacing w:after="60" w:line="268"/>
      </w:pPr>
      <w:r>
        <w:rPr>
          <w:rFonts w:ascii="Arial" w:cs="Arial" w:eastAsia="Arial" w:hAnsi="Arial"/>
        </w:rPr>
        <w:t xml:space="preserve">Validation et contrôle des données reçues avant affichage ;</w:t>
      </w:r>
    </w:p>
    <w:p>
      <w:pPr>
        <w:pStyle w:val="ListParagraph"/>
        <w:numPr>
          <w:ilvl w:val="0"/>
          <w:numId w:val="2"/>
        </w:numPr>
        <w:spacing w:after="60" w:line="268"/>
      </w:pPr>
      <w:r>
        <w:rPr>
          <w:rFonts w:ascii="Arial" w:cs="Arial" w:eastAsia="Arial" w:hAnsi="Arial"/>
        </w:rPr>
        <w:t xml:space="preserve">Prévention des injections simples côté client ;</w:t>
      </w:r>
    </w:p>
    <w:p>
      <w:pPr>
        <w:pStyle w:val="ListParagraph"/>
        <w:numPr>
          <w:ilvl w:val="0"/>
          <w:numId w:val="2"/>
        </w:numPr>
        <w:spacing w:after="60" w:line="268"/>
      </w:pPr>
      <w:r>
        <w:rPr>
          <w:rFonts w:ascii="Arial" w:cs="Arial" w:eastAsia="Arial" w:hAnsi="Arial"/>
        </w:rPr>
        <w:t xml:space="preserve">Gestion propre des erreurs, sans divulgation d'informations sensibles.</w:t>
      </w:r>
    </w:p>
    <w:p>
      <w:pPr>
        <w:pStyle w:val="Heading1"/>
      </w:pPr>
      <w:r>
        <w:rPr>
          <w:rFonts w:ascii="Arial" w:cs="Arial" w:eastAsia="Arial" w:hAnsi="Arial"/>
        </w:rPr>
        <w:t xml:space="preserve">5. Justification au regard des contraintes</w:t>
      </w:r>
    </w:p>
    <w:p>
      <w:pPr>
        <w:spacing w:after="140" w:line="276"/>
        <w:jc w:val="both"/>
      </w:pPr>
      <w:r>
        <w:rPr>
          <w:rFonts w:ascii="Arial" w:cs="Arial" w:eastAsia="Arial" w:hAnsi="Arial"/>
        </w:rPr>
        <w:t xml:space="preserve">L'ensemble des choix techniques découle directement des contraintes du projet :</w:t>
      </w:r>
    </w:p>
    <w:p>
      <w:pPr>
        <w:pStyle w:val="ListParagraph"/>
        <w:numPr>
          <w:ilvl w:val="0"/>
          <w:numId w:val="2"/>
        </w:numPr>
        <w:spacing w:after="60" w:line="268"/>
      </w:pPr>
      <w:r>
        <w:rPr>
          <w:rFonts w:ascii="Arial" w:cs="Arial" w:eastAsia="Arial" w:hAnsi="Arial"/>
          <w:b/>
          <w:bCs/>
        </w:rPr>
        <w:t xml:space="preserve">Délai de trois jours. </w:t>
      </w:r>
      <w:r>
        <w:rPr>
          <w:rFonts w:ascii="Arial" w:cs="Arial" w:eastAsia="Arial" w:hAnsi="Arial"/>
        </w:rPr>
        <w:t xml:space="preserve">Technologies maîtrisées et sans configuration lourde, API simulée évitant la dépendance à un service externe, priorisation des fonctionnalités essentielles.</w:t>
      </w:r>
    </w:p>
    <w:p>
      <w:pPr>
        <w:pStyle w:val="ListParagraph"/>
        <w:numPr>
          <w:ilvl w:val="0"/>
          <w:numId w:val="2"/>
        </w:numPr>
        <w:spacing w:after="60" w:line="268"/>
      </w:pPr>
      <w:r>
        <w:rPr>
          <w:rFonts w:ascii="Arial" w:cs="Arial" w:eastAsia="Arial" w:hAnsi="Arial"/>
          <w:b/>
          <w:bCs/>
        </w:rPr>
        <w:t xml:space="preserve">Temps réel. </w:t>
      </w:r>
      <w:r>
        <w:rPr>
          <w:rFonts w:ascii="Arial" w:cs="Arial" w:eastAsia="Arial" w:hAnsi="Arial"/>
        </w:rPr>
        <w:t xml:space="preserve">Polling simple et fiable, encapsulé et remplaçable par WebSocket.</w:t>
      </w:r>
    </w:p>
    <w:p>
      <w:pPr>
        <w:pStyle w:val="ListParagraph"/>
        <w:numPr>
          <w:ilvl w:val="0"/>
          <w:numId w:val="2"/>
        </w:numPr>
        <w:spacing w:after="60" w:line="268"/>
      </w:pPr>
      <w:r>
        <w:rPr>
          <w:rFonts w:ascii="Arial" w:cs="Arial" w:eastAsia="Arial" w:hAnsi="Arial"/>
          <w:b/>
          <w:bCs/>
        </w:rPr>
        <w:t xml:space="preserve">Maintenabilité. </w:t>
      </w:r>
      <w:r>
        <w:rPr>
          <w:rFonts w:ascii="Arial" w:cs="Arial" w:eastAsia="Arial" w:hAnsi="Arial"/>
        </w:rPr>
        <w:t xml:space="preserve">Architecture en couches, séparation logique/affichage, code structuré et documenté.</w:t>
      </w:r>
    </w:p>
    <w:p>
      <w:pPr>
        <w:pStyle w:val="ListParagraph"/>
        <w:numPr>
          <w:ilvl w:val="0"/>
          <w:numId w:val="2"/>
        </w:numPr>
        <w:spacing w:after="60" w:line="268"/>
      </w:pPr>
      <w:r>
        <w:rPr>
          <w:rFonts w:ascii="Arial" w:cs="Arial" w:eastAsia="Arial" w:hAnsi="Arial"/>
          <w:b/>
          <w:bCs/>
        </w:rPr>
        <w:t xml:space="preserve">Évolutivité. </w:t>
      </w:r>
      <w:r>
        <w:rPr>
          <w:rFonts w:ascii="Arial" w:cs="Arial" w:eastAsia="Arial" w:hAnsi="Arial"/>
        </w:rPr>
        <w:t xml:space="preserve">Couche de données isolée, permettant de brancher un back-end réel sans refonte de l'interface.</w:t>
      </w:r>
    </w:p>
    <w:p>
      <w:pPr>
        <w:pStyle w:val="Heading1"/>
      </w:pPr>
      <w:r>
        <w:rPr>
          <w:rFonts w:ascii="Arial" w:cs="Arial" w:eastAsia="Arial" w:hAnsi="Arial"/>
        </w:rPr>
        <w:t xml:space="preserve">6. Conclusion</w:t>
      </w:r>
    </w:p>
    <w:p>
      <w:pPr>
        <w:spacing w:after="140" w:line="276"/>
        <w:jc w:val="both"/>
      </w:pPr>
      <w:r>
        <w:rPr>
          <w:rFonts w:ascii="Arial" w:cs="Arial" w:eastAsia="Arial" w:hAnsi="Arial"/>
        </w:rPr>
        <w:t xml:space="preserve">Le cahier des charges technique fixe une pile sobre et cohérente (application web React, données via une API simulée, temps réel par polling) et une architecture en couches privilégiant la lisibilité, la maintenabilité et l'évolutivité. La sécurité est intégrée par des mesures de base adaptées au périmètre. Ces choix servent de cadre à la conception détaillée (UML, MERISE, maquettes) et au développement, et permettent, le cas échéant, de faire évoluer l'application vers un back-end réel sans remettre en cause son architecture.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C6B7C"/>
        <w:sz w:val="16"/>
        <w:szCs w:val="16"/>
      </w:rPr>
      <w:t xml:space="preserve">M1-DI — ENSITECH — 2025-2026   |   Page </w:t>
    </w:r>
    <w:r>
      <w:rPr>
        <w:rFonts w:ascii="Arial" w:cs="Arial" w:eastAsia="Arial" w:hAnsi="Arial"/>
        <w:color w:val="5C6B7C"/>
        <w:sz w:val="16"/>
        <w:szCs w:val="16"/>
      </w:rPr>
      <w:fldChar w:fldCharType="begin"/>
      <w:instrText xml:space="preserve">PAGE</w:instrText>
      <w:fldChar w:fldCharType="separate"/>
      <w:fldChar w:fldCharType="end"/>
    </w:r>
    <w:r>
      <w:rPr>
        <w:rFonts w:ascii="Arial" w:cs="Arial" w:eastAsia="Arial" w:hAnsi="Arial"/>
        <w:color w:val="5C6B7C"/>
        <w:sz w:val="16"/>
        <w:szCs w:val="16"/>
      </w:rPr>
      <w:t xml:space="preserve"> / </w:t>
    </w:r>
    <w:r>
      <w:rPr>
        <w:rFonts w:ascii="Arial" w:cs="Arial" w:eastAsia="Arial" w:hAnsi="Arial"/>
        <w:color w:val="5C6B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5DF" w:sz="4" w:space="4"/>
      </w:pBdr>
      <w:tabs>
        <w:tab w:val="right" w:pos="9026"/>
      </w:tabs>
    </w:pPr>
    <w:r>
      <w:rPr>
        <w:rFonts w:ascii="Arial" w:cs="Arial" w:eastAsia="Arial" w:hAnsi="Arial"/>
        <w:color w:val="5C6B7C"/>
        <w:sz w:val="16"/>
        <w:szCs w:val="16"/>
      </w:rPr>
      <w:t xml:space="preserve">Coupe du Monde FIFA 2026 — Cahier des charges technique</w:t>
    </w:r>
    <w:r>
      <w:rPr>
        <w:rFonts w:ascii="Arial" w:cs="Arial" w:eastAsia="Arial" w:hAnsi="Arial"/>
        <w:color w:val="5C6B7C"/>
        <w:sz w:val="16"/>
        <w:szCs w:val="16"/>
      </w:rPr>
      <w:t xml:space="preserve">	Islem Ben Hamida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1652F0"/>
      </w:rPr>
    </w:lvl>
  </w:abstractNum>
  <w:abstractNum w:abstractNumId="3" w15:restartNumberingAfterBreak="0">
    <w:multiLevelType w:val="hybridMultilevel"/>
    <w:lvl w:ilvl="0" w15:tentative="1">
      <w:start w:val="1"/>
      <w:numFmt w:val="decimal"/>
      <w:lvlText w:val="%1."/>
      <w:lvlJc w:val="left"/>
      <w:pPr>
        <w:ind w:left="600" w:hanging="320"/>
      </w:pPr>
      <w:rPr>
        <w:b/>
        <w:bCs/>
        <w:color w:val="1652F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652F0" w:sz="6" w:space="6"/>
      </w:pBdr>
      <w:spacing w:after="160" w:before="300"/>
      <w:outlineLvl w:val="0"/>
    </w:pPr>
    <w:rPr>
      <w:rFonts w:ascii="Arial" w:cs="Arial" w:eastAsia="Arial" w:hAnsi="Arial"/>
      <w:b/>
      <w:bCs/>
      <w:color w:val="0B1F3A"/>
      <w:sz w:val="28"/>
      <w:szCs w:val="28"/>
    </w:rPr>
  </w:style>
  <w:style w:type="paragraph" w:styleId="Heading2">
    <w:name w:val="Heading 2"/>
    <w:basedOn w:val="Normal"/>
    <w:next w:val="Normal"/>
    <w:qFormat/>
    <w:pPr>
      <w:spacing w:after="110" w:before="220"/>
      <w:outlineLvl w:val="1"/>
    </w:pPr>
    <w:rPr>
      <w:rFonts w:ascii="Arial" w:cs="Arial" w:eastAsia="Arial" w:hAnsi="Arial"/>
      <w:b/>
      <w:bCs/>
      <w:color w:val="1652F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technique — Coupe du Monde 2026</dc:title>
  <dc:creator>Islem Ben Hamida</dc:creator>
  <cp:lastModifiedBy>Un-named</cp:lastModifiedBy>
  <cp:revision>1</cp:revision>
  <dcterms:created xsi:type="dcterms:W3CDTF">2026-06-12T02:38:22.706Z</dcterms:created>
  <dcterms:modified xsi:type="dcterms:W3CDTF">2026-06-12T02:38:22.720Z</dcterms:modified>
</cp:coreProperties>
</file>

<file path=docProps/custom.xml><?xml version="1.0" encoding="utf-8"?>
<Properties xmlns="http://schemas.openxmlformats.org/officeDocument/2006/custom-properties" xmlns:vt="http://schemas.openxmlformats.org/officeDocument/2006/docPropsVTypes"/>
</file>