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基于改进 YOLOv8 的中医药饮片检测实验报告</w:t>
      </w:r>
    </w:p>
    <w:p>
      <w:r>
        <w:t>TCM-SliceAI 中医药饮片智能检测与识别系统</w:t>
      </w:r>
    </w:p>
    <w:p>
      <w:r>
        <w:t>生成时间：2026-06-24 11:49:45</w:t>
      </w:r>
    </w:p>
    <w:p>
      <w:r>
        <w:t>训练曲线读取自 runs\baseline\results.csv；消融结果读取自 final_results_full\reports\ablation\summary.csv。</w:t>
      </w:r>
    </w:p>
    <w:p>
      <w:pPr>
        <w:pStyle w:val="Heading1"/>
      </w:pPr>
      <w:r>
        <w:t>一、项目与数据概况</w:t>
      </w:r>
    </w:p>
    <w:p>
      <w:r>
        <w:t>本项目面向中医药饮片图像检测与识别任务，采用 YOLOv8n 作为基线模型，并围绕注意力机制、多尺度特征融合、轻量化卷积、解耦检测头和分类损失函数进行结构消融。报告自动汇总训练日志、验证指标、混淆矩阵与消融实验结果，用于支撑模型选型和实验材料归档。</w:t>
      </w:r>
    </w:p>
    <w:p>
      <w:r>
        <w:t>数据集配置文件为 dataset_augmented\data.yaml，共识别 15 个类别。当前可统计图像数为训练集 3014 张、验证集 211 张。</w:t>
      </w:r>
    </w:p>
    <w:p>
      <w:r>
        <w:t>类别集合：zexie, niuxi, gaoliangjiang, mudanpi, yuzhu, baizhi, baishao, dazao, danshen, gancao, baixianpi, baihe, sangzhi, jiegeng, banlangen</w:t>
      </w:r>
    </w:p>
    <w:p>
      <w:pPr>
        <w:pStyle w:val="Heading1"/>
      </w:pPr>
      <w:r>
        <w:t>二、实验设置</w:t>
      </w:r>
    </w:p>
    <w:p>
      <w:r>
        <w:t>本次主训练运行使用模型 yolov8n.pt，训练轮数 100，输入尺寸 640，batch=16，device=0。</w:t>
      </w:r>
    </w:p>
    <w:p>
      <w:r>
        <w:t>• 训练输出固定读取 YOLO results.csv，包含 box_loss、cls_loss、dfl_loss、Precision、Recall、mAP50 和 mAP50-95 等逐轮指标。</w:t>
      </w:r>
    </w:p>
    <w:p>
      <w:r>
        <w:t>• 消融实验表来自 summary.csv；若存在 history.csv，则同步绘制多实验收敛曲线。</w:t>
      </w:r>
    </w:p>
    <w:p>
      <w:r>
        <w:t>• 所有生成材料均保存为 CSV、Excel、PNG 与 Word 格式，便于论文、答辩和项目验收复用。</w:t>
      </w:r>
    </w:p>
    <w:p>
      <w:pPr>
        <w:pStyle w:val="Heading1"/>
      </w:pPr>
      <w:r>
        <w:t>三、训练收敛分析</w:t>
      </w:r>
    </w:p>
    <w:p>
      <w:r>
        <w:t>主训练在第 51 轮取得最佳 mAP50-95=0.7390，对应 mAP50=0.9404。最终一轮 box_loss=0.5574，cls_loss=0.3412，dfl_loss=0.9177。</w:t>
      </w:r>
    </w:p>
    <w:p>
      <w:r>
        <w:t>Loss 曲线用于观察定位框回归、类别分类和分布式焦点损失的收敛稳定性。若训练集和验证集曲线同步下降且后期趋于平稳，说明模型已较好地学习饮片形态、纹理和边界特征；若验证损失回升，则需要进一步检查过拟合或数据分布差异。</w:t>
      </w:r>
    </w:p>
    <w:p>
      <w:r>
        <w:drawing>
          <wp:inline xmlns:wp="http://schemas.openxmlformats.org/drawingml/2006/wordprocessingDrawing" distT="0" distB="0" distL="0" distR="0">
            <wp:extent cx="5394960" cy="30346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
                    <a:stretch>
                      <a:fillRect/>
                    </a:stretch>
                  </pic:blipFill>
                  <pic:spPr>
                    <a:xfrm>
                      <a:off x="0" y="0"/>
                      <a:ext cx="5394960" cy="3034665"/>
                    </a:xfrm>
                    <a:prstGeom prst="rect">
                      <a:avLst/>
                    </a:prstGeom>
                  </pic:spPr>
                </pic:pic>
              </a:graphicData>
            </a:graphic>
          </wp:inline>
        </w:drawing>
      </w:r>
    </w:p>
    <w:p>
      <w:pPr>
        <w:jc w:val="center"/>
      </w:pPr>
      <w:r>
        <w:rPr>
          <w:i/>
          <w:color w:val="666666"/>
        </w:rPr>
        <w:t>图 1  box_loss 曲线</w:t>
      </w:r>
    </w:p>
    <w:p>
      <w:r>
        <w:drawing>
          <wp:inline xmlns:wp="http://schemas.openxmlformats.org/drawingml/2006/wordprocessingDrawing" distT="0" distB="0" distL="0" distR="0">
            <wp:extent cx="5394960" cy="30346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2"/>
                    <a:stretch>
                      <a:fillRect/>
                    </a:stretch>
                  </pic:blipFill>
                  <pic:spPr>
                    <a:xfrm>
                      <a:off x="0" y="0"/>
                      <a:ext cx="5394960" cy="3034665"/>
                    </a:xfrm>
                    <a:prstGeom prst="rect">
                      <a:avLst/>
                    </a:prstGeom>
                  </pic:spPr>
                </pic:pic>
              </a:graphicData>
            </a:graphic>
          </wp:inline>
        </w:drawing>
      </w:r>
    </w:p>
    <w:p>
      <w:pPr>
        <w:jc w:val="center"/>
      </w:pPr>
      <w:r>
        <w:rPr>
          <w:i/>
          <w:color w:val="666666"/>
        </w:rPr>
        <w:t>图 2  cls_loss 曲线</w:t>
      </w:r>
    </w:p>
    <w:p>
      <w:r>
        <w:drawing>
          <wp:inline xmlns:wp="http://schemas.openxmlformats.org/drawingml/2006/wordprocessingDrawing" distT="0" distB="0" distL="0" distR="0">
            <wp:extent cx="5394960" cy="30346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3"/>
                    <a:stretch>
                      <a:fillRect/>
                    </a:stretch>
                  </pic:blipFill>
                  <pic:spPr>
                    <a:xfrm>
                      <a:off x="0" y="0"/>
                      <a:ext cx="5394960" cy="3034665"/>
                    </a:xfrm>
                    <a:prstGeom prst="rect">
                      <a:avLst/>
                    </a:prstGeom>
                  </pic:spPr>
                </pic:pic>
              </a:graphicData>
            </a:graphic>
          </wp:inline>
        </w:drawing>
      </w:r>
    </w:p>
    <w:p>
      <w:pPr>
        <w:jc w:val="center"/>
      </w:pPr>
      <w:r>
        <w:rPr>
          <w:i/>
          <w:color w:val="666666"/>
        </w:rPr>
        <w:t>图 3  dfl_loss 曲线</w:t>
      </w:r>
    </w:p>
    <w:p>
      <w:pPr>
        <w:pStyle w:val="Heading1"/>
      </w:pPr>
      <w:r>
        <w:t>四、检测精度分析</w:t>
      </w:r>
    </w:p>
    <w:p>
      <w:r>
        <w:t>mAP50 反映 IoU=0.50 阈值下的检测能力，mAP50-95 则在更严格的多阈值范围内评价定位质量，因此后者更适合作为最终模型排序和部署选型的核心指标。</w:t>
      </w:r>
    </w:p>
    <w:p>
      <w:r>
        <w:drawing>
          <wp:inline xmlns:wp="http://schemas.openxmlformats.org/drawingml/2006/wordprocessingDrawing" distT="0" distB="0" distL="0" distR="0">
            <wp:extent cx="5394960" cy="30346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4"/>
                    <a:stretch>
                      <a:fillRect/>
                    </a:stretch>
                  </pic:blipFill>
                  <pic:spPr>
                    <a:xfrm>
                      <a:off x="0" y="0"/>
                      <a:ext cx="5394960" cy="3034665"/>
                    </a:xfrm>
                    <a:prstGeom prst="rect">
                      <a:avLst/>
                    </a:prstGeom>
                  </pic:spPr>
                </pic:pic>
              </a:graphicData>
            </a:graphic>
          </wp:inline>
        </w:drawing>
      </w:r>
    </w:p>
    <w:p>
      <w:pPr>
        <w:jc w:val="center"/>
      </w:pPr>
      <w:r>
        <w:rPr>
          <w:i/>
          <w:color w:val="666666"/>
        </w:rPr>
        <w:t>图 4  mAP50 曲线</w:t>
      </w:r>
    </w:p>
    <w:p>
      <w:r>
        <w:drawing>
          <wp:inline xmlns:wp="http://schemas.openxmlformats.org/drawingml/2006/wordprocessingDrawing" distT="0" distB="0" distL="0" distR="0">
            <wp:extent cx="5394960" cy="30346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5"/>
                    <a:stretch>
                      <a:fillRect/>
                    </a:stretch>
                  </pic:blipFill>
                  <pic:spPr>
                    <a:xfrm>
                      <a:off x="0" y="0"/>
                      <a:ext cx="5394960" cy="3034665"/>
                    </a:xfrm>
                    <a:prstGeom prst="rect">
                      <a:avLst/>
                    </a:prstGeom>
                  </pic:spPr>
                </pic:pic>
              </a:graphicData>
            </a:graphic>
          </wp:inline>
        </w:drawing>
      </w:r>
    </w:p>
    <w:p>
      <w:pPr>
        <w:jc w:val="center"/>
      </w:pPr>
      <w:r>
        <w:rPr>
          <w:i/>
          <w:color w:val="666666"/>
        </w:rPr>
        <w:t>图 5  mAP50-95 曲线</w:t>
      </w:r>
    </w:p>
    <w:p>
      <w:r>
        <w:t>消融实验中，精度最优模型为 Baseline+CBAM，mAP50-95=0.8012，mAP50=0.9923。</w:t>
      </w:r>
    </w:p>
    <w:p>
      <w:pPr>
        <w:pStyle w:val="Heading1"/>
      </w:pPr>
      <w:r>
        <w:t>五、混淆矩阵分析</w:t>
      </w:r>
    </w:p>
    <w:p>
      <w:r>
        <w:t>混淆矩阵用于观察各类别之间的误检和漏检关系。对于外观相似、颜色和切片形态接近的饮片类别，该图可以帮助定位后续数据增强、类别重采样和采集规范优化的重点。</w:t>
      </w:r>
    </w:p>
    <w:p>
      <w:r>
        <w:drawing>
          <wp:inline xmlns:wp="http://schemas.openxmlformats.org/drawingml/2006/wordprocessingDrawing" distT="0" distB="0" distL="0" distR="0">
            <wp:extent cx="5394960" cy="404622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6"/>
                    <a:stretch>
                      <a:fillRect/>
                    </a:stretch>
                  </pic:blipFill>
                  <pic:spPr>
                    <a:xfrm>
                      <a:off x="0" y="0"/>
                      <a:ext cx="5394960" cy="4046220"/>
                    </a:xfrm>
                    <a:prstGeom prst="rect">
                      <a:avLst/>
                    </a:prstGeom>
                  </pic:spPr>
                </pic:pic>
              </a:graphicData>
            </a:graphic>
          </wp:inline>
        </w:drawing>
      </w:r>
    </w:p>
    <w:p>
      <w:pPr>
        <w:jc w:val="center"/>
      </w:pPr>
      <w:r>
        <w:rPr>
          <w:i/>
          <w:color w:val="666666"/>
        </w:rPr>
        <w:t>图 6  混淆矩阵</w:t>
      </w:r>
    </w:p>
    <w:p>
      <w:r>
        <w:drawing>
          <wp:inline xmlns:wp="http://schemas.openxmlformats.org/drawingml/2006/wordprocessingDrawing" distT="0" distB="0" distL="0" distR="0">
            <wp:extent cx="5394960" cy="404622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7"/>
                    <a:stretch>
                      <a:fillRect/>
                    </a:stretch>
                  </pic:blipFill>
                  <pic:spPr>
                    <a:xfrm>
                      <a:off x="0" y="0"/>
                      <a:ext cx="5394960" cy="4046220"/>
                    </a:xfrm>
                    <a:prstGeom prst="rect">
                      <a:avLst/>
                    </a:prstGeom>
                  </pic:spPr>
                </pic:pic>
              </a:graphicData>
            </a:graphic>
          </wp:inline>
        </w:drawing>
      </w:r>
    </w:p>
    <w:p>
      <w:pPr>
        <w:jc w:val="center"/>
      </w:pPr>
      <w:r>
        <w:rPr>
          <w:i/>
          <w:color w:val="666666"/>
        </w:rPr>
        <w:t>图 7  归一化混淆矩阵</w:t>
      </w:r>
    </w:p>
    <w:p>
      <w:pPr>
        <w:pStyle w:val="Heading1"/>
      </w:pPr>
      <w:r>
        <w:t>六、消融实验结果</w:t>
      </w:r>
    </w:p>
    <w:p>
      <w:r>
        <w:t>消融实验从 Baseline 出发，分别考察 CBAM、BiFPN、Focal Loss、GhostConv 与 Decoupled Head 对精度和速度的影响。表中 ΔmAP50-95 以 Baseline 为参照，正值表示相对提升。</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2B7A78"/>
          </w:tcPr>
          <w:p>
            <w:r>
              <w:rPr>
                <w:b/>
                <w:color w:val="FFFFFF"/>
                <w:sz w:val="18"/>
              </w:rPr>
              <w:t>Rank</w:t>
            </w:r>
          </w:p>
        </w:tc>
        <w:tc>
          <w:tcPr>
            <w:shd w:fill="2B7A78"/>
          </w:tcPr>
          <w:p>
            <w:r>
              <w:rPr>
                <w:b/>
                <w:color w:val="FFFFFF"/>
                <w:sz w:val="18"/>
              </w:rPr>
              <w:t>Experiment</w:t>
            </w:r>
          </w:p>
        </w:tc>
        <w:tc>
          <w:tcPr>
            <w:shd w:fill="2B7A78"/>
          </w:tcPr>
          <w:p>
            <w:r>
              <w:rPr>
                <w:b/>
                <w:color w:val="FFFFFF"/>
                <w:sz w:val="18"/>
              </w:rPr>
              <w:t>Precision</w:t>
            </w:r>
          </w:p>
        </w:tc>
        <w:tc>
          <w:tcPr>
            <w:shd w:fill="2B7A78"/>
          </w:tcPr>
          <w:p>
            <w:r>
              <w:rPr>
                <w:b/>
                <w:color w:val="FFFFFF"/>
                <w:sz w:val="18"/>
              </w:rPr>
              <w:t>Recall</w:t>
            </w:r>
          </w:p>
        </w:tc>
        <w:tc>
          <w:tcPr>
            <w:shd w:fill="2B7A78"/>
          </w:tcPr>
          <w:p>
            <w:r>
              <w:rPr>
                <w:b/>
                <w:color w:val="FFFFFF"/>
                <w:sz w:val="18"/>
              </w:rPr>
              <w:t>mAP50</w:t>
            </w:r>
          </w:p>
        </w:tc>
        <w:tc>
          <w:tcPr>
            <w:shd w:fill="2B7A78"/>
          </w:tcPr>
          <w:p>
            <w:r>
              <w:rPr>
                <w:b/>
                <w:color w:val="FFFFFF"/>
                <w:sz w:val="18"/>
              </w:rPr>
              <w:t>mAP50-95</w:t>
            </w:r>
          </w:p>
        </w:tc>
        <w:tc>
          <w:tcPr>
            <w:shd w:fill="2B7A78"/>
          </w:tcPr>
          <w:p>
            <w:r>
              <w:rPr>
                <w:b/>
                <w:color w:val="FFFFFF"/>
                <w:sz w:val="18"/>
              </w:rPr>
              <w:t>FPS</w:t>
            </w:r>
          </w:p>
        </w:tc>
        <w:tc>
          <w:tcPr>
            <w:shd w:fill="2B7A78"/>
          </w:tcPr>
          <w:p>
            <w:r>
              <w:rPr>
                <w:b/>
                <w:color w:val="FFFFFF"/>
                <w:sz w:val="18"/>
              </w:rPr>
              <w:t>ΔmAP50-95</w:t>
            </w:r>
          </w:p>
        </w:tc>
      </w:tr>
      <w:tr>
        <w:tc>
          <w:tcPr/>
          <w:p>
            <w:r>
              <w:rPr>
                <w:sz w:val="18"/>
              </w:rPr>
              <w:t>1</w:t>
            </w:r>
          </w:p>
        </w:tc>
        <w:tc>
          <w:tcPr/>
          <w:p>
            <w:r>
              <w:rPr>
                <w:sz w:val="18"/>
              </w:rPr>
              <w:t>Baseline+CBAM</w:t>
            </w:r>
          </w:p>
        </w:tc>
        <w:tc>
          <w:tcPr/>
          <w:p>
            <w:r>
              <w:rPr>
                <w:sz w:val="18"/>
              </w:rPr>
              <w:t>0.9943</w:t>
            </w:r>
          </w:p>
        </w:tc>
        <w:tc>
          <w:tcPr/>
          <w:p>
            <w:r>
              <w:rPr>
                <w:sz w:val="18"/>
              </w:rPr>
              <w:t>0.9937</w:t>
            </w:r>
          </w:p>
        </w:tc>
        <w:tc>
          <w:tcPr/>
          <w:p>
            <w:r>
              <w:rPr>
                <w:sz w:val="18"/>
              </w:rPr>
              <w:t>0.9923</w:t>
            </w:r>
          </w:p>
        </w:tc>
        <w:tc>
          <w:tcPr/>
          <w:p>
            <w:r>
              <w:rPr>
                <w:sz w:val="18"/>
              </w:rPr>
              <w:t>0.8012</w:t>
            </w:r>
          </w:p>
        </w:tc>
        <w:tc>
          <w:tcPr/>
          <w:p>
            <w:r>
              <w:rPr>
                <w:sz w:val="18"/>
              </w:rPr>
              <w:t>242.11</w:t>
            </w:r>
          </w:p>
        </w:tc>
        <w:tc>
          <w:tcPr/>
          <w:p>
            <w:r>
              <w:rPr>
                <w:sz w:val="18"/>
              </w:rPr>
              <w:t>+0.0059</w:t>
            </w:r>
          </w:p>
        </w:tc>
      </w:tr>
      <w:tr>
        <w:tc>
          <w:tcPr/>
          <w:p>
            <w:r>
              <w:rPr>
                <w:sz w:val="18"/>
              </w:rPr>
              <w:t>2</w:t>
            </w:r>
          </w:p>
        </w:tc>
        <w:tc>
          <w:tcPr/>
          <w:p>
            <w:r>
              <w:rPr>
                <w:sz w:val="18"/>
              </w:rPr>
              <w:t>Baseline+CBAM+BiFPN</w:t>
            </w:r>
          </w:p>
        </w:tc>
        <w:tc>
          <w:tcPr/>
          <w:p>
            <w:r>
              <w:rPr>
                <w:sz w:val="18"/>
              </w:rPr>
              <w:t>0.9916</w:t>
            </w:r>
          </w:p>
        </w:tc>
        <w:tc>
          <w:tcPr/>
          <w:p>
            <w:r>
              <w:rPr>
                <w:sz w:val="18"/>
              </w:rPr>
              <w:t>0.9905</w:t>
            </w:r>
          </w:p>
        </w:tc>
        <w:tc>
          <w:tcPr/>
          <w:p>
            <w:r>
              <w:rPr>
                <w:sz w:val="18"/>
              </w:rPr>
              <w:t>0.9916</w:t>
            </w:r>
          </w:p>
        </w:tc>
        <w:tc>
          <w:tcPr/>
          <w:p>
            <w:r>
              <w:rPr>
                <w:sz w:val="18"/>
              </w:rPr>
              <w:t>0.8008</w:t>
            </w:r>
          </w:p>
        </w:tc>
        <w:tc>
          <w:tcPr/>
          <w:p>
            <w:r>
              <w:rPr>
                <w:sz w:val="18"/>
              </w:rPr>
              <w:t>302.73</w:t>
            </w:r>
          </w:p>
        </w:tc>
        <w:tc>
          <w:tcPr/>
          <w:p>
            <w:r>
              <w:rPr>
                <w:sz w:val="18"/>
              </w:rPr>
              <w:t>+0.0054</w:t>
            </w:r>
          </w:p>
        </w:tc>
      </w:tr>
      <w:tr>
        <w:tc>
          <w:tcPr/>
          <w:p>
            <w:r>
              <w:rPr>
                <w:sz w:val="18"/>
              </w:rPr>
              <w:t>3</w:t>
            </w:r>
          </w:p>
        </w:tc>
        <w:tc>
          <w:tcPr/>
          <w:p>
            <w:r>
              <w:rPr>
                <w:sz w:val="18"/>
              </w:rPr>
              <w:t>Baseline+GhostConv</w:t>
            </w:r>
          </w:p>
        </w:tc>
        <w:tc>
          <w:tcPr/>
          <w:p>
            <w:r>
              <w:rPr>
                <w:sz w:val="18"/>
              </w:rPr>
              <w:t>0.9880</w:t>
            </w:r>
          </w:p>
        </w:tc>
        <w:tc>
          <w:tcPr/>
          <w:p>
            <w:r>
              <w:rPr>
                <w:sz w:val="18"/>
              </w:rPr>
              <w:t>0.9899</w:t>
            </w:r>
          </w:p>
        </w:tc>
        <w:tc>
          <w:tcPr/>
          <w:p>
            <w:r>
              <w:rPr>
                <w:sz w:val="18"/>
              </w:rPr>
              <w:t>0.9892</w:t>
            </w:r>
          </w:p>
        </w:tc>
        <w:tc>
          <w:tcPr/>
          <w:p>
            <w:r>
              <w:rPr>
                <w:sz w:val="18"/>
              </w:rPr>
              <w:t>0.7982</w:t>
            </w:r>
          </w:p>
        </w:tc>
        <w:tc>
          <w:tcPr/>
          <w:p>
            <w:r>
              <w:rPr>
                <w:sz w:val="18"/>
              </w:rPr>
              <w:t>306.11</w:t>
            </w:r>
          </w:p>
        </w:tc>
        <w:tc>
          <w:tcPr/>
          <w:p>
            <w:r>
              <w:rPr>
                <w:sz w:val="18"/>
              </w:rPr>
              <w:t>+0.0029</w:t>
            </w:r>
          </w:p>
        </w:tc>
      </w:tr>
      <w:tr>
        <w:tc>
          <w:tcPr/>
          <w:p>
            <w:r>
              <w:rPr>
                <w:sz w:val="18"/>
              </w:rPr>
              <w:t>4</w:t>
            </w:r>
          </w:p>
        </w:tc>
        <w:tc>
          <w:tcPr/>
          <w:p>
            <w:r>
              <w:rPr>
                <w:sz w:val="18"/>
              </w:rPr>
              <w:t>Baseline</w:t>
            </w:r>
          </w:p>
        </w:tc>
        <w:tc>
          <w:tcPr/>
          <w:p>
            <w:r>
              <w:rPr>
                <w:sz w:val="18"/>
              </w:rPr>
              <w:t>0.9933</w:t>
            </w:r>
          </w:p>
        </w:tc>
        <w:tc>
          <w:tcPr/>
          <w:p>
            <w:r>
              <w:rPr>
                <w:sz w:val="18"/>
              </w:rPr>
              <w:t>0.9950</w:t>
            </w:r>
          </w:p>
        </w:tc>
        <w:tc>
          <w:tcPr/>
          <w:p>
            <w:r>
              <w:rPr>
                <w:sz w:val="18"/>
              </w:rPr>
              <w:t>0.9912</w:t>
            </w:r>
          </w:p>
        </w:tc>
        <w:tc>
          <w:tcPr/>
          <w:p>
            <w:r>
              <w:rPr>
                <w:sz w:val="18"/>
              </w:rPr>
              <w:t>0.7953</w:t>
            </w:r>
          </w:p>
        </w:tc>
        <w:tc>
          <w:tcPr/>
          <w:p>
            <w:r>
              <w:rPr>
                <w:sz w:val="18"/>
              </w:rPr>
              <w:t>304.50</w:t>
            </w:r>
          </w:p>
        </w:tc>
        <w:tc>
          <w:tcPr/>
          <w:p>
            <w:r>
              <w:rPr>
                <w:sz w:val="18"/>
              </w:rPr>
              <w:t>+0.0000</w:t>
            </w:r>
          </w:p>
        </w:tc>
      </w:tr>
      <w:tr>
        <w:tc>
          <w:tcPr/>
          <w:p>
            <w:r>
              <w:rPr>
                <w:sz w:val="18"/>
              </w:rPr>
              <w:t>5</w:t>
            </w:r>
          </w:p>
        </w:tc>
        <w:tc>
          <w:tcPr/>
          <w:p>
            <w:r>
              <w:rPr>
                <w:sz w:val="18"/>
              </w:rPr>
              <w:t>Baseline+DecoupledHead</w:t>
            </w:r>
          </w:p>
        </w:tc>
        <w:tc>
          <w:tcPr/>
          <w:p>
            <w:r>
              <w:rPr>
                <w:sz w:val="18"/>
              </w:rPr>
              <w:t>0.9925</w:t>
            </w:r>
          </w:p>
        </w:tc>
        <w:tc>
          <w:tcPr/>
          <w:p>
            <w:r>
              <w:rPr>
                <w:sz w:val="18"/>
              </w:rPr>
              <w:t>0.9945</w:t>
            </w:r>
          </w:p>
        </w:tc>
        <w:tc>
          <w:tcPr/>
          <w:p>
            <w:r>
              <w:rPr>
                <w:sz w:val="18"/>
              </w:rPr>
              <w:t>0.9913</w:t>
            </w:r>
          </w:p>
        </w:tc>
        <w:tc>
          <w:tcPr/>
          <w:p>
            <w:r>
              <w:rPr>
                <w:sz w:val="18"/>
              </w:rPr>
              <w:t>0.7950</w:t>
            </w:r>
          </w:p>
        </w:tc>
        <w:tc>
          <w:tcPr/>
          <w:p>
            <w:r>
              <w:rPr>
                <w:sz w:val="18"/>
              </w:rPr>
              <w:t>235.72</w:t>
            </w:r>
          </w:p>
        </w:tc>
        <w:tc>
          <w:tcPr/>
          <w:p>
            <w:r>
              <w:rPr>
                <w:sz w:val="18"/>
              </w:rPr>
              <w:t>-0.0003</w:t>
            </w:r>
          </w:p>
        </w:tc>
      </w:tr>
      <w:tr>
        <w:tc>
          <w:tcPr/>
          <w:p>
            <w:r>
              <w:rPr>
                <w:sz w:val="18"/>
              </w:rPr>
              <w:t>6</w:t>
            </w:r>
          </w:p>
        </w:tc>
        <w:tc>
          <w:tcPr/>
          <w:p>
            <w:r>
              <w:rPr>
                <w:sz w:val="18"/>
              </w:rPr>
              <w:t>Baseline+CBAM+BiFPN+GhostConv+DecoupledHead</w:t>
            </w:r>
          </w:p>
        </w:tc>
        <w:tc>
          <w:tcPr/>
          <w:p>
            <w:r>
              <w:rPr>
                <w:sz w:val="18"/>
              </w:rPr>
              <w:t>0.9800</w:t>
            </w:r>
          </w:p>
        </w:tc>
        <w:tc>
          <w:tcPr/>
          <w:p>
            <w:r>
              <w:rPr>
                <w:sz w:val="18"/>
              </w:rPr>
              <w:t>0.9838</w:t>
            </w:r>
          </w:p>
        </w:tc>
        <w:tc>
          <w:tcPr/>
          <w:p>
            <w:r>
              <w:rPr>
                <w:sz w:val="18"/>
              </w:rPr>
              <w:t>0.9903</w:t>
            </w:r>
          </w:p>
        </w:tc>
        <w:tc>
          <w:tcPr/>
          <w:p>
            <w:r>
              <w:rPr>
                <w:sz w:val="18"/>
              </w:rPr>
              <w:t>0.7945</w:t>
            </w:r>
          </w:p>
        </w:tc>
        <w:tc>
          <w:tcPr/>
          <w:p>
            <w:r>
              <w:rPr>
                <w:sz w:val="18"/>
              </w:rPr>
              <w:t>280.49</w:t>
            </w:r>
          </w:p>
        </w:tc>
        <w:tc>
          <w:tcPr/>
          <w:p>
            <w:r>
              <w:rPr>
                <w:sz w:val="18"/>
              </w:rPr>
              <w:t>-0.0009</w:t>
            </w:r>
          </w:p>
        </w:tc>
      </w:tr>
      <w:tr>
        <w:tc>
          <w:tcPr/>
          <w:p>
            <w:r>
              <w:rPr>
                <w:sz w:val="18"/>
              </w:rPr>
              <w:t>7</w:t>
            </w:r>
          </w:p>
        </w:tc>
        <w:tc>
          <w:tcPr/>
          <w:p>
            <w:r>
              <w:rPr>
                <w:sz w:val="18"/>
              </w:rPr>
              <w:t>Baseline+BiFPN</w:t>
            </w:r>
          </w:p>
        </w:tc>
        <w:tc>
          <w:tcPr/>
          <w:p>
            <w:r>
              <w:rPr>
                <w:sz w:val="18"/>
              </w:rPr>
              <w:t>0.9920</w:t>
            </w:r>
          </w:p>
        </w:tc>
        <w:tc>
          <w:tcPr/>
          <w:p>
            <w:r>
              <w:rPr>
                <w:sz w:val="18"/>
              </w:rPr>
              <w:t>0.9936</w:t>
            </w:r>
          </w:p>
        </w:tc>
        <w:tc>
          <w:tcPr/>
          <w:p>
            <w:r>
              <w:rPr>
                <w:sz w:val="18"/>
              </w:rPr>
              <w:t>0.9925</w:t>
            </w:r>
          </w:p>
        </w:tc>
        <w:tc>
          <w:tcPr/>
          <w:p>
            <w:r>
              <w:rPr>
                <w:sz w:val="18"/>
              </w:rPr>
              <w:t>0.7923</w:t>
            </w:r>
          </w:p>
        </w:tc>
        <w:tc>
          <w:tcPr/>
          <w:p>
            <w:r>
              <w:rPr>
                <w:sz w:val="18"/>
              </w:rPr>
              <w:t>299.28</w:t>
            </w:r>
          </w:p>
        </w:tc>
        <w:tc>
          <w:tcPr/>
          <w:p>
            <w:r>
              <w:rPr>
                <w:sz w:val="18"/>
              </w:rPr>
              <w:t>-0.0030</w:t>
            </w:r>
          </w:p>
        </w:tc>
      </w:tr>
      <w:tr>
        <w:tc>
          <w:tcPr/>
          <w:p>
            <w:r>
              <w:rPr>
                <w:sz w:val="18"/>
              </w:rPr>
              <w:t>8</w:t>
            </w:r>
          </w:p>
        </w:tc>
        <w:tc>
          <w:tcPr/>
          <w:p>
            <w:r>
              <w:rPr>
                <w:sz w:val="18"/>
              </w:rPr>
              <w:t>Baseline+CBAM+BiFPN+GhostConv</w:t>
            </w:r>
          </w:p>
        </w:tc>
        <w:tc>
          <w:tcPr/>
          <w:p>
            <w:r>
              <w:rPr>
                <w:sz w:val="18"/>
              </w:rPr>
              <w:t>0.9829</w:t>
            </w:r>
          </w:p>
        </w:tc>
        <w:tc>
          <w:tcPr/>
          <w:p>
            <w:r>
              <w:rPr>
                <w:sz w:val="18"/>
              </w:rPr>
              <w:t>0.9830</w:t>
            </w:r>
          </w:p>
        </w:tc>
        <w:tc>
          <w:tcPr/>
          <w:p>
            <w:r>
              <w:rPr>
                <w:sz w:val="18"/>
              </w:rPr>
              <w:t>0.9885</w:t>
            </w:r>
          </w:p>
        </w:tc>
        <w:tc>
          <w:tcPr/>
          <w:p>
            <w:r>
              <w:rPr>
                <w:sz w:val="18"/>
              </w:rPr>
              <w:t>0.7903</w:t>
            </w:r>
          </w:p>
        </w:tc>
        <w:tc>
          <w:tcPr/>
          <w:p>
            <w:r>
              <w:rPr>
                <w:sz w:val="18"/>
              </w:rPr>
              <w:t>287.42</w:t>
            </w:r>
          </w:p>
        </w:tc>
        <w:tc>
          <w:tcPr/>
          <w:p>
            <w:r>
              <w:rPr>
                <w:sz w:val="18"/>
              </w:rPr>
              <w:t>-0.0051</w:t>
            </w:r>
          </w:p>
        </w:tc>
      </w:tr>
      <w:tr>
        <w:tc>
          <w:tcPr/>
          <w:p>
            <w:r>
              <w:rPr>
                <w:sz w:val="18"/>
              </w:rPr>
              <w:t>9</w:t>
            </w:r>
          </w:p>
        </w:tc>
        <w:tc>
          <w:tcPr/>
          <w:p>
            <w:r>
              <w:rPr>
                <w:sz w:val="18"/>
              </w:rPr>
              <w:t>Baseline+CBAM+BiFPN+Focal</w:t>
            </w:r>
          </w:p>
        </w:tc>
        <w:tc>
          <w:tcPr/>
          <w:p>
            <w:r>
              <w:rPr>
                <w:sz w:val="18"/>
              </w:rPr>
              <w:t>0.9848</w:t>
            </w:r>
          </w:p>
        </w:tc>
        <w:tc>
          <w:tcPr/>
          <w:p>
            <w:r>
              <w:rPr>
                <w:sz w:val="18"/>
              </w:rPr>
              <w:t>0.9862</w:t>
            </w:r>
          </w:p>
        </w:tc>
        <w:tc>
          <w:tcPr/>
          <w:p>
            <w:r>
              <w:rPr>
                <w:sz w:val="18"/>
              </w:rPr>
              <w:t>0.9903</w:t>
            </w:r>
          </w:p>
        </w:tc>
        <w:tc>
          <w:tcPr/>
          <w:p>
            <w:r>
              <w:rPr>
                <w:sz w:val="18"/>
              </w:rPr>
              <w:t>0.7891</w:t>
            </w:r>
          </w:p>
        </w:tc>
        <w:tc>
          <w:tcPr/>
          <w:p>
            <w:r>
              <w:rPr>
                <w:sz w:val="18"/>
              </w:rPr>
              <w:t>198.90</w:t>
            </w:r>
          </w:p>
        </w:tc>
        <w:tc>
          <w:tcPr/>
          <w:p>
            <w:r>
              <w:rPr>
                <w:sz w:val="18"/>
              </w:rPr>
              <w:t>-0.0062</w:t>
            </w:r>
          </w:p>
        </w:tc>
      </w:tr>
      <w:tr>
        <w:tc>
          <w:tcPr/>
          <w:p>
            <w:r>
              <w:rPr>
                <w:sz w:val="18"/>
              </w:rPr>
              <w:t>10</w:t>
            </w:r>
          </w:p>
        </w:tc>
        <w:tc>
          <w:tcPr/>
          <w:p>
            <w:r>
              <w:rPr>
                <w:sz w:val="18"/>
              </w:rPr>
              <w:t>FullModel</w:t>
            </w:r>
          </w:p>
        </w:tc>
        <w:tc>
          <w:tcPr/>
          <w:p>
            <w:r>
              <w:rPr>
                <w:sz w:val="18"/>
              </w:rPr>
              <w:t>0.9777</w:t>
            </w:r>
          </w:p>
        </w:tc>
        <w:tc>
          <w:tcPr/>
          <w:p>
            <w:r>
              <w:rPr>
                <w:sz w:val="18"/>
              </w:rPr>
              <w:t>0.9754</w:t>
            </w:r>
          </w:p>
        </w:tc>
        <w:tc>
          <w:tcPr/>
          <w:p>
            <w:r>
              <w:rPr>
                <w:sz w:val="18"/>
              </w:rPr>
              <w:t>0.9901</w:t>
            </w:r>
          </w:p>
        </w:tc>
        <w:tc>
          <w:tcPr/>
          <w:p>
            <w:r>
              <w:rPr>
                <w:sz w:val="18"/>
              </w:rPr>
              <w:t>0.7847</w:t>
            </w:r>
          </w:p>
        </w:tc>
        <w:tc>
          <w:tcPr/>
          <w:p>
            <w:r>
              <w:rPr>
                <w:sz w:val="18"/>
              </w:rPr>
              <w:t>226.29</w:t>
            </w:r>
          </w:p>
        </w:tc>
        <w:tc>
          <w:tcPr/>
          <w:p>
            <w:r>
              <w:rPr>
                <w:sz w:val="18"/>
              </w:rPr>
              <w:t>-0.0106</w:t>
            </w:r>
          </w:p>
        </w:tc>
      </w:tr>
      <w:tr>
        <w:tc>
          <w:tcPr/>
          <w:p>
            <w:r>
              <w:rPr>
                <w:sz w:val="18"/>
              </w:rPr>
              <w:t>11</w:t>
            </w:r>
          </w:p>
        </w:tc>
        <w:tc>
          <w:tcPr/>
          <w:p>
            <w:r>
              <w:rPr>
                <w:sz w:val="18"/>
              </w:rPr>
              <w:t>Baseline+Focal</w:t>
            </w:r>
          </w:p>
        </w:tc>
        <w:tc>
          <w:tcPr/>
          <w:p>
            <w:r>
              <w:rPr>
                <w:sz w:val="18"/>
              </w:rPr>
              <w:t>0.9828</w:t>
            </w:r>
          </w:p>
        </w:tc>
        <w:tc>
          <w:tcPr/>
          <w:p>
            <w:r>
              <w:rPr>
                <w:sz w:val="18"/>
              </w:rPr>
              <w:t>0.9803</w:t>
            </w:r>
          </w:p>
        </w:tc>
        <w:tc>
          <w:tcPr/>
          <w:p>
            <w:r>
              <w:rPr>
                <w:sz w:val="18"/>
              </w:rPr>
              <w:t>0.9891</w:t>
            </w:r>
          </w:p>
        </w:tc>
        <w:tc>
          <w:tcPr/>
          <w:p>
            <w:r>
              <w:rPr>
                <w:sz w:val="18"/>
              </w:rPr>
              <w:t>0.7844</w:t>
            </w:r>
          </w:p>
        </w:tc>
        <w:tc>
          <w:tcPr/>
          <w:p>
            <w:r>
              <w:rPr>
                <w:sz w:val="18"/>
              </w:rPr>
              <w:t>235.14</w:t>
            </w:r>
          </w:p>
        </w:tc>
        <w:tc>
          <w:tcPr/>
          <w:p>
            <w:r>
              <w:rPr>
                <w:sz w:val="18"/>
              </w:rPr>
              <w:t>-0.0109</w:t>
            </w:r>
          </w:p>
        </w:tc>
      </w:tr>
    </w:tbl>
    <w:p>
      <w:r>
        <w:drawing>
          <wp:inline xmlns:wp="http://schemas.openxmlformats.org/drawingml/2006/wordprocessingDrawing" distT="0" distB="0" distL="0" distR="0">
            <wp:extent cx="5394960" cy="3262666"/>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8"/>
                    <a:stretch>
                      <a:fillRect/>
                    </a:stretch>
                  </pic:blipFill>
                  <pic:spPr>
                    <a:xfrm>
                      <a:off x="0" y="0"/>
                      <a:ext cx="5394960" cy="3262666"/>
                    </a:xfrm>
                    <a:prstGeom prst="rect">
                      <a:avLst/>
                    </a:prstGeom>
                  </pic:spPr>
                </pic:pic>
              </a:graphicData>
            </a:graphic>
          </wp:inline>
        </w:drawing>
      </w:r>
    </w:p>
    <w:p>
      <w:pPr>
        <w:jc w:val="center"/>
      </w:pPr>
      <w:r>
        <w:rPr>
          <w:i/>
          <w:color w:val="666666"/>
        </w:rPr>
        <w:t>图 8  消融实验 mAP50-95 排名</w:t>
      </w:r>
    </w:p>
    <w:p>
      <w:r>
        <w:drawing>
          <wp:inline xmlns:wp="http://schemas.openxmlformats.org/drawingml/2006/wordprocessingDrawing" distT="0" distB="0" distL="0" distR="0">
            <wp:extent cx="5394960" cy="314706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9"/>
                    <a:stretch>
                      <a:fillRect/>
                    </a:stretch>
                  </pic:blipFill>
                  <pic:spPr>
                    <a:xfrm>
                      <a:off x="0" y="0"/>
                      <a:ext cx="5394960" cy="3147060"/>
                    </a:xfrm>
                    <a:prstGeom prst="rect">
                      <a:avLst/>
                    </a:prstGeom>
                  </pic:spPr>
                </pic:pic>
              </a:graphicData>
            </a:graphic>
          </wp:inline>
        </w:drawing>
      </w:r>
    </w:p>
    <w:p>
      <w:pPr>
        <w:jc w:val="center"/>
      </w:pPr>
      <w:r>
        <w:rPr>
          <w:i/>
          <w:color w:val="666666"/>
        </w:rPr>
        <w:t>图 9  精度-速度权衡</w:t>
      </w:r>
    </w:p>
    <w:p>
      <w:r>
        <w:t>速度最优模型为 Baseline+GhostConv，FPS=306.11。</w:t>
      </w:r>
    </w:p>
    <w:p>
      <w:r>
        <w:t>Focal Loss 相关组合在当前结果中未成为最优精度模型，可作为负向消融结论保留。</w:t>
      </w:r>
    </w:p>
    <w:p>
      <w:pPr>
        <w:pStyle w:val="Heading1"/>
      </w:pPr>
      <w:r>
        <w:t>七、结论与模型选型</w:t>
      </w:r>
    </w:p>
    <w:p>
      <w:r>
        <w:t>综合精度与速度，推荐默认部署模型为 Baseline+CBAM+BiFPN，其 mAP50-95=0.8008，FPS=302.73。</w:t>
      </w:r>
    </w:p>
    <w:p>
      <w:r>
        <w:t>从当前结果看，注意力机制与特征融合结构能提升模型对局部纹理和多尺度目标的表达能力；轻量化结构更适合边缘端部署；复杂组合并不必然带来精度提升，尤其在样本规模有限的情况下，需要通过公平预训练迁移、统一训练轮数和固定验证集进行验证。</w:t>
      </w:r>
    </w:p>
    <w:p>
      <w:r>
        <w:t>后续建议围绕三点继续完善：一是扩充易混类别样本并进行针对性增强；二是对最终部署模型导出 ONNX/OpenVINO/NCNN 后实测端侧速度；三是保留完整训练日志和混淆矩阵，形成可追溯的模型迭代档案。</w:t>
      </w:r>
    </w:p>
    <w:sectPr>
      <w:pgSz w:w="11906" w:h="16838"/>
      <w:pgMar w:top="1134" w:right="992" w:bottom="1134" w:left="992" w:header="708" w:footer="708" w:gutter="0"/>
    </w:sectPr>
  </w:body>
</w:document>
</file>

<file path=word/styles.xml><?xml version="1.0" encoding="utf-8"?>
<w:styles xmlns:w="http://schemas.openxmlformats.org/wordprocessingml/2006/main">
  <w:style w:type="paragraph" w:default="1" w:styleId="Normal">
    <w:name w:val="Normal"/>
    <w:qFormat/>
    <w:rPr>
      <w:rFonts w:ascii="Microsoft YaHei" w:eastAsia="Microsoft YaHei"/>
      <w:sz w:val="21"/>
    </w:rPr>
  </w:style>
  <w:style w:type="paragraph" w:styleId="Title">
    <w:name w:val="Title"/>
    <w:basedOn w:val="Normal"/>
    <w:qFormat/>
    <w:pPr>
      <w:jc w:val="center"/>
    </w:pPr>
    <w:rPr>
      <w:b/>
      <w:sz w:val="34"/>
    </w:rPr>
  </w:style>
  <w:style w:type="paragraph" w:styleId="Heading1">
    <w:name w:val="heading 1"/>
    <w:basedOn w:val="Normal"/>
    <w:qFormat/>
    <w:pPr>
      <w:spacing w:before="320" w:after="120"/>
    </w:pPr>
    <w:rPr>
      <w:b/>
      <w:sz w:val="28"/>
    </w:rPr>
  </w:style>
  <w:style w:type="paragraph" w:styleId="Heading2">
    <w:name w:val="heading 2"/>
    <w:basedOn w:val="Normal"/>
    <w:qFormat/>
    <w:pPr>
      <w:spacing w:before="240" w:after="80"/>
    </w:pPr>
    <w:rPr>
      <w:b/>
      <w:sz w:val="24"/>
    </w:rPr>
  </w:style>
  <w:style w:type="table" w:styleId="TableGrid">
    <w:name w:val="Table Grid"/>
    <w:basedOn w:val="TableNormal"/>
    <w:uiPriority w:val="59"/>
    <w:rsid w:val="00000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基于改进 YOLOv8 的中医药饮片检测实验报告</dc:title>
  <dc:creator>report_generator.py</dc:creator>
  <dcterms:created xsi:type="dcterms:W3CDTF">2026-06-24T03:49:45Z</dcterms:created>
  <dcterms:modified xsi:type="dcterms:W3CDTF">2026-06-24T03:49:45Z</dcterms:modified>
</cp:coreProperties>
</file>